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26001" w14:textId="77777777" w:rsidR="00AB714D" w:rsidRDefault="00AB714D" w:rsidP="00AB714D">
      <w:pPr>
        <w:spacing w:after="0"/>
        <w:rPr>
          <w:lang w:val="de-CH"/>
        </w:rPr>
      </w:pPr>
    </w:p>
    <w:p w14:paraId="6C57210C" w14:textId="77777777" w:rsidR="00AB714D" w:rsidRDefault="00AB714D" w:rsidP="00AB714D">
      <w:pPr>
        <w:spacing w:after="0"/>
        <w:rPr>
          <w:lang w:val="de-CH"/>
        </w:rPr>
      </w:pPr>
    </w:p>
    <w:p w14:paraId="1FED408C" w14:textId="77777777" w:rsidR="00AB714D" w:rsidRDefault="00AB714D" w:rsidP="00AB714D">
      <w:pPr>
        <w:spacing w:after="0"/>
        <w:rPr>
          <w:lang w:val="de-CH"/>
        </w:rPr>
      </w:pPr>
    </w:p>
    <w:p w14:paraId="73D01B73" w14:textId="77777777" w:rsidR="00AB714D" w:rsidRPr="00AB714D" w:rsidRDefault="00AB714D" w:rsidP="00AB714D">
      <w:pPr>
        <w:spacing w:after="0"/>
        <w:rPr>
          <w:lang w:val="de-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B714D" w14:paraId="09540745" w14:textId="77777777" w:rsidTr="00AB714D">
        <w:tc>
          <w:tcPr>
            <w:tcW w:w="4531" w:type="dxa"/>
          </w:tcPr>
          <w:p w14:paraId="4466C152" w14:textId="4EE19B4B" w:rsidR="00AB714D" w:rsidRDefault="00AB714D" w:rsidP="00AB714D">
            <w:pPr>
              <w:rPr>
                <w:lang w:val="de-CH"/>
              </w:rPr>
            </w:pPr>
            <w:r>
              <w:rPr>
                <w:lang w:val="de-CH"/>
              </w:rPr>
              <w:t>Adresse</w:t>
            </w:r>
          </w:p>
          <w:p w14:paraId="410A567C" w14:textId="5C3858CE" w:rsidR="00AB714D" w:rsidRDefault="00AB714D" w:rsidP="00AB714D">
            <w:pPr>
              <w:rPr>
                <w:lang w:val="de-CH"/>
              </w:rPr>
            </w:pPr>
            <w:r>
              <w:rPr>
                <w:lang w:val="de-CH"/>
              </w:rPr>
              <w:t xml:space="preserve">STWEG Teilnehmer </w:t>
            </w:r>
          </w:p>
          <w:p w14:paraId="7C895222" w14:textId="77777777" w:rsidR="00AB714D" w:rsidRDefault="00AB714D" w:rsidP="00AB714D">
            <w:pPr>
              <w:rPr>
                <w:lang w:val="de-CH"/>
              </w:rPr>
            </w:pPr>
          </w:p>
          <w:p w14:paraId="778EF41B" w14:textId="77777777" w:rsidR="00AB714D" w:rsidRDefault="00AB714D" w:rsidP="00AB714D">
            <w:pPr>
              <w:rPr>
                <w:lang w:val="de-CH"/>
              </w:rPr>
            </w:pPr>
          </w:p>
          <w:p w14:paraId="008401FA" w14:textId="77777777" w:rsidR="00AB714D" w:rsidRDefault="00AB714D" w:rsidP="00AB714D">
            <w:pPr>
              <w:rPr>
                <w:lang w:val="de-CH"/>
              </w:rPr>
            </w:pPr>
          </w:p>
        </w:tc>
        <w:tc>
          <w:tcPr>
            <w:tcW w:w="4531" w:type="dxa"/>
          </w:tcPr>
          <w:p w14:paraId="6CB78B76" w14:textId="77777777" w:rsidR="00AB714D" w:rsidRDefault="00AB714D" w:rsidP="00AB714D">
            <w:pPr>
              <w:rPr>
                <w:lang w:val="de-CH"/>
              </w:rPr>
            </w:pPr>
            <w:r>
              <w:rPr>
                <w:lang w:val="de-CH"/>
              </w:rPr>
              <w:t xml:space="preserve">Adresse </w:t>
            </w:r>
          </w:p>
          <w:p w14:paraId="634C8340" w14:textId="1FD8C7D0" w:rsidR="00AB714D" w:rsidRDefault="004F1F09" w:rsidP="00AB714D">
            <w:pPr>
              <w:rPr>
                <w:lang w:val="de-CH"/>
              </w:rPr>
            </w:pPr>
            <w:r>
              <w:rPr>
                <w:lang w:val="de-CH"/>
              </w:rPr>
              <w:t>Verwaltung</w:t>
            </w:r>
          </w:p>
        </w:tc>
      </w:tr>
    </w:tbl>
    <w:p w14:paraId="37BCC479" w14:textId="77777777" w:rsidR="00AB714D" w:rsidRPr="00AB714D" w:rsidRDefault="00AB714D" w:rsidP="00AB714D">
      <w:pPr>
        <w:pBdr>
          <w:bottom w:val="single" w:sz="4" w:space="1" w:color="auto"/>
        </w:pBdr>
        <w:spacing w:after="0"/>
        <w:rPr>
          <w:lang w:val="de-CH"/>
        </w:rPr>
      </w:pPr>
    </w:p>
    <w:p w14:paraId="66A7842C" w14:textId="77777777" w:rsidR="00AB714D" w:rsidRPr="00AB714D" w:rsidRDefault="00AB714D" w:rsidP="00AB714D">
      <w:pPr>
        <w:pBdr>
          <w:bottom w:val="single" w:sz="4" w:space="1" w:color="auto"/>
        </w:pBdr>
        <w:spacing w:after="0"/>
        <w:rPr>
          <w:lang w:val="de-CH"/>
        </w:rPr>
      </w:pPr>
    </w:p>
    <w:p w14:paraId="19F9936B" w14:textId="77777777" w:rsidR="00AB714D" w:rsidRPr="00AB714D" w:rsidRDefault="00AB714D" w:rsidP="00AB714D">
      <w:pPr>
        <w:pBdr>
          <w:bottom w:val="single" w:sz="4" w:space="1" w:color="auto"/>
        </w:pBdr>
        <w:spacing w:after="0"/>
        <w:rPr>
          <w:lang w:val="de-CH"/>
        </w:rPr>
      </w:pPr>
    </w:p>
    <w:p w14:paraId="0B1648B5" w14:textId="77777777" w:rsidR="00AB714D" w:rsidRPr="00AB714D" w:rsidRDefault="00AB714D" w:rsidP="00AB714D">
      <w:pPr>
        <w:pBdr>
          <w:bottom w:val="single" w:sz="4" w:space="1" w:color="auto"/>
        </w:pBdr>
        <w:spacing w:after="0"/>
        <w:rPr>
          <w:lang w:val="de-CH"/>
        </w:rPr>
      </w:pPr>
    </w:p>
    <w:p w14:paraId="41C7F522" w14:textId="77777777" w:rsidR="00AB714D" w:rsidRPr="00AB714D" w:rsidRDefault="00AB714D" w:rsidP="00AB714D">
      <w:pPr>
        <w:pBdr>
          <w:bottom w:val="single" w:sz="4" w:space="1" w:color="auto"/>
        </w:pBdr>
        <w:spacing w:after="0"/>
        <w:rPr>
          <w:lang w:val="de-CH"/>
        </w:rPr>
      </w:pPr>
    </w:p>
    <w:p w14:paraId="28A2504A" w14:textId="77777777" w:rsidR="00AB714D" w:rsidRDefault="00AB714D" w:rsidP="00AB714D">
      <w:pPr>
        <w:pBdr>
          <w:bottom w:val="single" w:sz="4" w:space="1" w:color="auto"/>
        </w:pBdr>
        <w:spacing w:after="0"/>
        <w:rPr>
          <w:lang w:val="de-CH"/>
        </w:rPr>
      </w:pPr>
    </w:p>
    <w:p w14:paraId="3AD65E6F" w14:textId="77777777" w:rsidR="00C10FD7" w:rsidRPr="00AB714D" w:rsidRDefault="00C10FD7" w:rsidP="00AB714D">
      <w:pPr>
        <w:pBdr>
          <w:bottom w:val="single" w:sz="4" w:space="1" w:color="auto"/>
        </w:pBdr>
        <w:spacing w:after="0"/>
        <w:rPr>
          <w:lang w:val="de-CH"/>
        </w:rPr>
      </w:pPr>
    </w:p>
    <w:p w14:paraId="699D31AD" w14:textId="77777777" w:rsidR="00AB714D" w:rsidRPr="00AB714D" w:rsidRDefault="00AB714D" w:rsidP="00AB714D">
      <w:pPr>
        <w:pBdr>
          <w:bottom w:val="single" w:sz="4" w:space="1" w:color="auto"/>
        </w:pBdr>
        <w:spacing w:after="0"/>
        <w:rPr>
          <w:lang w:val="de-CH"/>
        </w:rPr>
      </w:pPr>
    </w:p>
    <w:p w14:paraId="10429402" w14:textId="75EEEA3E" w:rsidR="003E7A76" w:rsidRPr="00AB714D" w:rsidRDefault="00AB714D" w:rsidP="00AB714D">
      <w:pPr>
        <w:pBdr>
          <w:bottom w:val="single" w:sz="4" w:space="1" w:color="auto"/>
        </w:pBdr>
        <w:spacing w:after="0"/>
        <w:rPr>
          <w:b/>
          <w:bCs/>
          <w:lang w:val="de-CH"/>
        </w:rPr>
      </w:pPr>
      <w:r w:rsidRPr="00AB714D">
        <w:rPr>
          <w:b/>
          <w:bCs/>
          <w:lang w:val="de-CH"/>
        </w:rPr>
        <w:t xml:space="preserve">Unterstützende Informationen zum Thema Heizungsersatz im Kanton Nidwalden </w:t>
      </w:r>
    </w:p>
    <w:p w14:paraId="28F4910E" w14:textId="77777777" w:rsidR="00AB714D" w:rsidRDefault="00AB714D" w:rsidP="00737691">
      <w:pPr>
        <w:spacing w:after="0"/>
        <w:rPr>
          <w:lang w:val="de-CH"/>
        </w:rPr>
      </w:pPr>
    </w:p>
    <w:p w14:paraId="7F60F80B" w14:textId="79419C85" w:rsidR="00DB1663" w:rsidRPr="00DB1663" w:rsidRDefault="00DB1663" w:rsidP="000F51F4">
      <w:pPr>
        <w:pStyle w:val="Listenabsatz"/>
        <w:numPr>
          <w:ilvl w:val="0"/>
          <w:numId w:val="1"/>
        </w:numPr>
        <w:spacing w:after="0"/>
        <w:ind w:hanging="720"/>
        <w:rPr>
          <w:b/>
          <w:bCs/>
          <w:lang w:val="de-CH"/>
        </w:rPr>
      </w:pPr>
      <w:r w:rsidRPr="00DB1663">
        <w:rPr>
          <w:b/>
          <w:bCs/>
          <w:lang w:val="de-CH"/>
        </w:rPr>
        <w:t>Hintergrund</w:t>
      </w:r>
    </w:p>
    <w:p w14:paraId="5B9E7224" w14:textId="2903B4FB" w:rsidR="00ED5E6C" w:rsidRDefault="00AB714D" w:rsidP="00AB714D">
      <w:pPr>
        <w:spacing w:after="0"/>
        <w:rPr>
          <w:lang w:val="de-CH"/>
        </w:rPr>
      </w:pPr>
      <w:r w:rsidRPr="00AB714D">
        <w:rPr>
          <w:lang w:val="de-CH"/>
        </w:rPr>
        <w:t>Im Kanton Nidwalden kann eine Öl</w:t>
      </w:r>
      <w:r w:rsidR="00ED5E6C">
        <w:rPr>
          <w:lang w:val="de-CH"/>
        </w:rPr>
        <w:t>- und Elektro</w:t>
      </w:r>
      <w:r w:rsidRPr="00AB714D">
        <w:rPr>
          <w:lang w:val="de-CH"/>
        </w:rPr>
        <w:t>heizung nicht mehr 1:1 ersetzt werden, da die kantonalen Vorschriften zur Förderung erneuerbarer Energien und zur Reduktion von CO</w:t>
      </w:r>
      <w:r w:rsidRPr="00AB714D">
        <w:rPr>
          <w:rFonts w:ascii="Cambria Math" w:hAnsi="Cambria Math" w:cs="Cambria Math"/>
          <w:lang w:val="de-CH"/>
        </w:rPr>
        <w:t>₂</w:t>
      </w:r>
      <w:r w:rsidRPr="00AB714D">
        <w:rPr>
          <w:lang w:val="de-CH"/>
        </w:rPr>
        <w:t>-Emissionen dies verhindern. Diese Regelungen basieren auf den Mustervorschriften der Kantone im Energiebereich (</w:t>
      </w:r>
      <w:proofErr w:type="spellStart"/>
      <w:r w:rsidRPr="00AB714D">
        <w:rPr>
          <w:lang w:val="de-CH"/>
        </w:rPr>
        <w:t>MuKEn</w:t>
      </w:r>
      <w:proofErr w:type="spellEnd"/>
      <w:r w:rsidRPr="00AB714D">
        <w:rPr>
          <w:lang w:val="de-CH"/>
        </w:rPr>
        <w:t xml:space="preserve">). Ein Ersatz durch eine neue </w:t>
      </w:r>
      <w:r w:rsidRPr="00AB714D">
        <w:rPr>
          <w:rFonts w:cs="Arial"/>
          <w:lang w:val="de-CH"/>
        </w:rPr>
        <w:t>Ö</w:t>
      </w:r>
      <w:r w:rsidRPr="00AB714D">
        <w:rPr>
          <w:lang w:val="de-CH"/>
        </w:rPr>
        <w:t>l- oder Gasheizung ist nur dann m</w:t>
      </w:r>
      <w:r w:rsidRPr="00AB714D">
        <w:rPr>
          <w:rFonts w:cs="Arial"/>
          <w:lang w:val="de-CH"/>
        </w:rPr>
        <w:t>ö</w:t>
      </w:r>
      <w:r w:rsidRPr="00AB714D">
        <w:rPr>
          <w:lang w:val="de-CH"/>
        </w:rPr>
        <w:t>glich, wenn das Geb</w:t>
      </w:r>
      <w:r w:rsidRPr="00AB714D">
        <w:rPr>
          <w:rFonts w:cs="Arial"/>
          <w:lang w:val="de-CH"/>
        </w:rPr>
        <w:t>ä</w:t>
      </w:r>
      <w:r w:rsidRPr="00AB714D">
        <w:rPr>
          <w:lang w:val="de-CH"/>
        </w:rPr>
        <w:t xml:space="preserve">ude eine hohe Energieeffizienz aufweist (z. B. </w:t>
      </w:r>
      <w:r w:rsidR="00C331C5">
        <w:rPr>
          <w:lang w:val="de-CH"/>
        </w:rPr>
        <w:t>Minergie Standard</w:t>
      </w:r>
      <w:r w:rsidR="00ED5E6C">
        <w:rPr>
          <w:lang w:val="de-CH"/>
        </w:rPr>
        <w:t xml:space="preserve"> oder </w:t>
      </w:r>
      <w:r w:rsidRPr="00AB714D">
        <w:rPr>
          <w:lang w:val="de-CH"/>
        </w:rPr>
        <w:t>einen Energieausweis mit einer Einstufung besser als "</w:t>
      </w:r>
      <w:r w:rsidR="00ED5E6C">
        <w:rPr>
          <w:lang w:val="de-CH"/>
        </w:rPr>
        <w:t>D</w:t>
      </w:r>
      <w:r w:rsidRPr="00AB714D">
        <w:rPr>
          <w:lang w:val="de-CH"/>
        </w:rPr>
        <w:t>")</w:t>
      </w:r>
      <w:r w:rsidR="00ED5E6C">
        <w:rPr>
          <w:lang w:val="de-CH"/>
        </w:rPr>
        <w:t xml:space="preserve">. Die anzunehmende Verschärfung dieser Regelung wird wohl </w:t>
      </w:r>
      <w:r w:rsidR="00DB1663">
        <w:rPr>
          <w:lang w:val="de-CH"/>
        </w:rPr>
        <w:t xml:space="preserve">künftig </w:t>
      </w:r>
      <w:r w:rsidR="00ED5E6C">
        <w:rPr>
          <w:lang w:val="de-CH"/>
        </w:rPr>
        <w:t xml:space="preserve">einen </w:t>
      </w:r>
      <w:r w:rsidR="00ED5E6C" w:rsidRPr="00AB714D">
        <w:rPr>
          <w:lang w:val="de-CH"/>
        </w:rPr>
        <w:t>Energieausweis mit einer Einstufung besser als "</w:t>
      </w:r>
      <w:r w:rsidR="00ED5E6C">
        <w:rPr>
          <w:lang w:val="de-CH"/>
        </w:rPr>
        <w:t>A</w:t>
      </w:r>
      <w:r w:rsidR="00ED5E6C" w:rsidRPr="00AB714D">
        <w:rPr>
          <w:lang w:val="de-CH"/>
        </w:rPr>
        <w:t>"</w:t>
      </w:r>
      <w:r w:rsidRPr="00AB714D">
        <w:rPr>
          <w:lang w:val="de-CH"/>
        </w:rPr>
        <w:t xml:space="preserve"> </w:t>
      </w:r>
      <w:r w:rsidR="00ED5E6C">
        <w:rPr>
          <w:lang w:val="de-CH"/>
        </w:rPr>
        <w:t xml:space="preserve">fordern. </w:t>
      </w:r>
      <w:r w:rsidR="00DB1663">
        <w:rPr>
          <w:lang w:val="de-CH"/>
        </w:rPr>
        <w:t xml:space="preserve">Alle anderen Objekte </w:t>
      </w:r>
      <w:r w:rsidR="00C331C5">
        <w:rPr>
          <w:lang w:val="de-CH"/>
        </w:rPr>
        <w:t xml:space="preserve">müssen eine der 11 Standardmassnahmen (siehe Kapitel 2) umsetzen. </w:t>
      </w:r>
    </w:p>
    <w:p w14:paraId="0F2AB740" w14:textId="77777777" w:rsidR="00C331C5" w:rsidRDefault="00C331C5" w:rsidP="00AB714D">
      <w:pPr>
        <w:spacing w:after="0"/>
        <w:rPr>
          <w:lang w:val="de-CH"/>
        </w:rPr>
      </w:pPr>
    </w:p>
    <w:p w14:paraId="3A4734BD" w14:textId="790FEC1F" w:rsidR="00C331C5" w:rsidRDefault="00C331C5" w:rsidP="00AB714D">
      <w:pPr>
        <w:spacing w:after="0"/>
        <w:rPr>
          <w:lang w:val="de-CH"/>
        </w:rPr>
      </w:pPr>
      <w:r>
        <w:rPr>
          <w:lang w:val="de-CH"/>
        </w:rPr>
        <w:t xml:space="preserve">Spezielle Regelungen gelten für zentrale Elektroheizungen, welche eine Sanierungspflicht bis 2036 haben. Zentrale Elektroboiler für das Warmwasser dürfen nicht mehr 1:1 ersetzt werden. Dezentrale Elektroboiler in den Etagen oder Wohnungen sind weiterhin erlaubt, könnten aber bei einer anzunehmenden Verschärfung der Regeln künftig ebenfalls verboten werden. </w:t>
      </w:r>
    </w:p>
    <w:p w14:paraId="22365BC3" w14:textId="77777777" w:rsidR="00ED5E6C" w:rsidRDefault="00ED5E6C" w:rsidP="00AB714D">
      <w:pPr>
        <w:spacing w:after="0"/>
        <w:rPr>
          <w:lang w:val="de-CH"/>
        </w:rPr>
      </w:pPr>
    </w:p>
    <w:p w14:paraId="6EBE61B8" w14:textId="77777777" w:rsidR="00C10FD7" w:rsidRDefault="00C10FD7" w:rsidP="00AB714D">
      <w:pPr>
        <w:spacing w:after="0"/>
        <w:rPr>
          <w:lang w:val="de-CH"/>
        </w:rPr>
      </w:pPr>
    </w:p>
    <w:p w14:paraId="6EBBC3C9" w14:textId="5EB02D84" w:rsidR="00DB1663" w:rsidRPr="00C331C5" w:rsidRDefault="00DB1663" w:rsidP="000F51F4">
      <w:pPr>
        <w:pStyle w:val="Listenabsatz"/>
        <w:numPr>
          <w:ilvl w:val="0"/>
          <w:numId w:val="1"/>
        </w:numPr>
        <w:spacing w:after="0"/>
        <w:ind w:hanging="720"/>
        <w:rPr>
          <w:b/>
          <w:bCs/>
          <w:lang w:val="de-CH"/>
        </w:rPr>
      </w:pPr>
      <w:r w:rsidRPr="00C331C5">
        <w:rPr>
          <w:b/>
          <w:bCs/>
          <w:lang w:val="de-CH"/>
        </w:rPr>
        <w:t>11 Standardmassnahmen</w:t>
      </w:r>
    </w:p>
    <w:p w14:paraId="4BE51EFE" w14:textId="28E09EAB" w:rsidR="00DB1663" w:rsidRDefault="00C331C5" w:rsidP="00DB1663">
      <w:pPr>
        <w:spacing w:after="0"/>
        <w:rPr>
          <w:lang w:val="de-CH"/>
        </w:rPr>
      </w:pPr>
      <w:r>
        <w:rPr>
          <w:lang w:val="de-CH"/>
        </w:rPr>
        <w:t xml:space="preserve">Aus den </w:t>
      </w:r>
      <w:r w:rsidRPr="00AB714D">
        <w:rPr>
          <w:lang w:val="de-CH"/>
        </w:rPr>
        <w:t>Mustervorschriften der Kantone im Energiebereich (</w:t>
      </w:r>
      <w:proofErr w:type="spellStart"/>
      <w:r w:rsidRPr="00AB714D">
        <w:rPr>
          <w:lang w:val="de-CH"/>
        </w:rPr>
        <w:t>MuKEn</w:t>
      </w:r>
      <w:proofErr w:type="spellEnd"/>
      <w:r w:rsidRPr="00AB714D">
        <w:rPr>
          <w:lang w:val="de-CH"/>
        </w:rPr>
        <w:t>)</w:t>
      </w:r>
      <w:r>
        <w:rPr>
          <w:lang w:val="de-CH"/>
        </w:rPr>
        <w:t xml:space="preserve"> gehen 11 Standardmassnahmen hervor. </w:t>
      </w:r>
      <w:r w:rsidR="00017851">
        <w:rPr>
          <w:lang w:val="de-CH"/>
        </w:rPr>
        <w:t xml:space="preserve">Diese werden in diesem Abschnitt beschrieben und auf die Tauglichkeit für einen Wärmeersatz hin zu einer </w:t>
      </w:r>
      <w:r w:rsidR="00017851" w:rsidRPr="00AB714D">
        <w:rPr>
          <w:lang w:val="de-CH"/>
        </w:rPr>
        <w:t>CO</w:t>
      </w:r>
      <w:r w:rsidR="00017851" w:rsidRPr="00AB714D">
        <w:rPr>
          <w:rFonts w:ascii="Cambria Math" w:hAnsi="Cambria Math" w:cs="Cambria Math"/>
          <w:lang w:val="de-CH"/>
        </w:rPr>
        <w:t>₂</w:t>
      </w:r>
      <w:r w:rsidR="00017851" w:rsidRPr="00AB714D">
        <w:rPr>
          <w:lang w:val="de-CH"/>
        </w:rPr>
        <w:t>-</w:t>
      </w:r>
      <w:r w:rsidR="00017851">
        <w:rPr>
          <w:lang w:val="de-CH"/>
        </w:rPr>
        <w:t xml:space="preserve">freien Welt beurteilt. </w:t>
      </w:r>
    </w:p>
    <w:p w14:paraId="79B9D95A" w14:textId="77777777" w:rsidR="00017851" w:rsidRDefault="00017851" w:rsidP="00DB1663">
      <w:pPr>
        <w:spacing w:after="0"/>
        <w:rPr>
          <w:lang w:val="de-CH"/>
        </w:rPr>
      </w:pPr>
    </w:p>
    <w:tbl>
      <w:tblPr>
        <w:tblStyle w:val="Tabellenraster"/>
        <w:tblW w:w="0" w:type="auto"/>
        <w:tblInd w:w="-5" w:type="dxa"/>
        <w:tblLayout w:type="fixed"/>
        <w:tblLook w:val="04A0" w:firstRow="1" w:lastRow="0" w:firstColumn="1" w:lastColumn="0" w:noHBand="0" w:noVBand="1"/>
      </w:tblPr>
      <w:tblGrid>
        <w:gridCol w:w="6941"/>
        <w:gridCol w:w="2121"/>
      </w:tblGrid>
      <w:tr w:rsidR="00017851" w14:paraId="6E67A9A8" w14:textId="77777777" w:rsidTr="00ED0F5E">
        <w:trPr>
          <w:trHeight w:val="421"/>
        </w:trPr>
        <w:tc>
          <w:tcPr>
            <w:tcW w:w="6941" w:type="dxa"/>
          </w:tcPr>
          <w:p w14:paraId="1698F6F0" w14:textId="15D568C0" w:rsidR="00017851" w:rsidRPr="00017851" w:rsidRDefault="00017851" w:rsidP="00666464">
            <w:pPr>
              <w:pStyle w:val="Listenabsatz"/>
              <w:numPr>
                <w:ilvl w:val="0"/>
                <w:numId w:val="2"/>
              </w:numPr>
              <w:ind w:left="602" w:hanging="567"/>
              <w:rPr>
                <w:sz w:val="16"/>
                <w:szCs w:val="16"/>
                <w:lang w:val="de-CH"/>
              </w:rPr>
            </w:pPr>
            <w:r w:rsidRPr="00017851">
              <w:rPr>
                <w:sz w:val="16"/>
                <w:szCs w:val="16"/>
                <w:lang w:val="de-CH"/>
              </w:rPr>
              <w:t>Thermische Sonnenkollektoren (PVT) für die Wassererwärmung</w:t>
            </w:r>
            <w:r w:rsidR="00666464">
              <w:rPr>
                <w:sz w:val="16"/>
                <w:szCs w:val="16"/>
                <w:lang w:val="de-CH"/>
              </w:rPr>
              <w:t xml:space="preserve">. </w:t>
            </w:r>
            <w:r w:rsidRPr="00017851">
              <w:rPr>
                <w:sz w:val="16"/>
                <w:szCs w:val="16"/>
                <w:lang w:val="de-CH"/>
              </w:rPr>
              <w:t>Solaranlage: Mindestfläche 2% der Energiebezugsfläche</w:t>
            </w:r>
          </w:p>
        </w:tc>
        <w:tc>
          <w:tcPr>
            <w:tcW w:w="2121" w:type="dxa"/>
            <w:vMerge w:val="restart"/>
          </w:tcPr>
          <w:p w14:paraId="054620DE" w14:textId="2C9526BA" w:rsidR="00017851" w:rsidRDefault="002A5EB0" w:rsidP="00B945D1">
            <w:pPr>
              <w:jc w:val="right"/>
              <w:rPr>
                <w:lang w:val="de-CH"/>
              </w:rPr>
            </w:pPr>
            <w:r>
              <w:rPr>
                <w:noProof/>
              </w:rPr>
              <w:drawing>
                <wp:inline distT="0" distB="0" distL="0" distR="0" wp14:anchorId="03B00CA5" wp14:editId="120DB2B4">
                  <wp:extent cx="1409211" cy="907822"/>
                  <wp:effectExtent l="0" t="0" r="635" b="6985"/>
                  <wp:docPr id="62788303"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1006" cy="908979"/>
                          </a:xfrm>
                          <a:prstGeom prst="rect">
                            <a:avLst/>
                          </a:prstGeom>
                          <a:noFill/>
                          <a:ln>
                            <a:noFill/>
                          </a:ln>
                        </pic:spPr>
                      </pic:pic>
                    </a:graphicData>
                  </a:graphic>
                </wp:inline>
              </w:drawing>
            </w:r>
          </w:p>
        </w:tc>
      </w:tr>
      <w:tr w:rsidR="00017851" w14:paraId="296F3897" w14:textId="77777777" w:rsidTr="00ED0F5E">
        <w:trPr>
          <w:trHeight w:val="1247"/>
        </w:trPr>
        <w:tc>
          <w:tcPr>
            <w:tcW w:w="6941" w:type="dxa"/>
          </w:tcPr>
          <w:p w14:paraId="3A285CD2" w14:textId="1439C940" w:rsidR="00017851" w:rsidRPr="00017851" w:rsidRDefault="00017851" w:rsidP="00A15AC7">
            <w:pPr>
              <w:ind w:firstLine="35"/>
              <w:rPr>
                <w:sz w:val="16"/>
                <w:szCs w:val="16"/>
                <w:lang w:val="de-CH"/>
              </w:rPr>
            </w:pPr>
            <w:r w:rsidRPr="00017851">
              <w:rPr>
                <w:sz w:val="16"/>
                <w:szCs w:val="16"/>
                <w:lang w:val="de-CH"/>
              </w:rPr>
              <w:t xml:space="preserve">Beurteilung: Oft eine ungeeignete Lösung. Primärer Wärmeersatz hin zu einer </w:t>
            </w:r>
            <w:r w:rsidR="00B945D1" w:rsidRPr="00B945D1">
              <w:rPr>
                <w:sz w:val="16"/>
                <w:szCs w:val="16"/>
                <w:lang w:val="de-CH"/>
              </w:rPr>
              <w:t>CO</w:t>
            </w:r>
            <w:r w:rsidR="00B945D1" w:rsidRPr="00B945D1">
              <w:rPr>
                <w:rFonts w:ascii="Cambria Math" w:hAnsi="Cambria Math" w:cs="Cambria Math"/>
                <w:sz w:val="16"/>
                <w:szCs w:val="16"/>
                <w:lang w:val="de-CH"/>
              </w:rPr>
              <w:t>₂</w:t>
            </w:r>
            <w:r w:rsidRPr="00017851">
              <w:rPr>
                <w:sz w:val="16"/>
                <w:szCs w:val="16"/>
                <w:lang w:val="de-CH"/>
              </w:rPr>
              <w:t xml:space="preserve"> freien Lösung ist damit nur für das Brauchwarmwasser, nicht aber für die Heizung gelöst. Die Dachflächen sollten idealen Flächen aufweisen, um die geforderte Mindestfläche für Solarthermie bereitstellen zu können. Die Integration der Solarthermie müsste zudem für die hydraulische Einbindung inkl. passender Leitungsführung speziell beachtet werden. Geeignete Dachflächen sollen, wenn immer möglich und bei ausreichend hohem Eigenverbrauch für die Eigenstromproduktion verwendet werden. </w:t>
            </w:r>
          </w:p>
        </w:tc>
        <w:tc>
          <w:tcPr>
            <w:tcW w:w="2121" w:type="dxa"/>
            <w:vMerge/>
          </w:tcPr>
          <w:p w14:paraId="397DC805" w14:textId="77777777" w:rsidR="00017851" w:rsidRPr="00017851" w:rsidRDefault="00017851" w:rsidP="00DB1663"/>
        </w:tc>
      </w:tr>
      <w:tr w:rsidR="00017851" w14:paraId="532D83AC" w14:textId="77777777" w:rsidTr="00ED0F5E">
        <w:trPr>
          <w:trHeight w:val="61"/>
        </w:trPr>
        <w:tc>
          <w:tcPr>
            <w:tcW w:w="6941" w:type="dxa"/>
          </w:tcPr>
          <w:p w14:paraId="19E4770A" w14:textId="428C4662" w:rsidR="00017851" w:rsidRPr="00017851" w:rsidRDefault="00017851" w:rsidP="00A15AC7">
            <w:pPr>
              <w:pStyle w:val="Listenabsatz"/>
              <w:numPr>
                <w:ilvl w:val="0"/>
                <w:numId w:val="2"/>
              </w:numPr>
              <w:ind w:hanging="685"/>
              <w:rPr>
                <w:sz w:val="16"/>
                <w:szCs w:val="16"/>
                <w:lang w:val="de-CH"/>
              </w:rPr>
            </w:pPr>
            <w:r w:rsidRPr="00017851">
              <w:rPr>
                <w:sz w:val="16"/>
                <w:szCs w:val="16"/>
                <w:lang w:val="de-CH"/>
              </w:rPr>
              <w:t>Holzfeuerung (Pellets, Schnitzel, Stückholz) als Hauptwärmeerzeuger und ein Anteil an erneuerbarer Energie für Warmwasser</w:t>
            </w:r>
          </w:p>
        </w:tc>
        <w:tc>
          <w:tcPr>
            <w:tcW w:w="2121" w:type="dxa"/>
            <w:vMerge w:val="restart"/>
          </w:tcPr>
          <w:p w14:paraId="6CB76869" w14:textId="24AA3024" w:rsidR="00017851" w:rsidRDefault="002A5EB0" w:rsidP="00017851">
            <w:pPr>
              <w:jc w:val="right"/>
              <w:rPr>
                <w:lang w:val="de-CH"/>
              </w:rPr>
            </w:pPr>
            <w:r>
              <w:rPr>
                <w:noProof/>
              </w:rPr>
              <w:drawing>
                <wp:inline distT="0" distB="0" distL="0" distR="0" wp14:anchorId="535AE34B" wp14:editId="4AACB477">
                  <wp:extent cx="1409211" cy="1011245"/>
                  <wp:effectExtent l="0" t="0" r="635" b="0"/>
                  <wp:docPr id="146040605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9664" cy="1011570"/>
                          </a:xfrm>
                          <a:prstGeom prst="rect">
                            <a:avLst/>
                          </a:prstGeom>
                          <a:noFill/>
                          <a:ln>
                            <a:noFill/>
                          </a:ln>
                        </pic:spPr>
                      </pic:pic>
                    </a:graphicData>
                  </a:graphic>
                </wp:inline>
              </w:drawing>
            </w:r>
          </w:p>
        </w:tc>
      </w:tr>
      <w:tr w:rsidR="00017851" w14:paraId="098CD660" w14:textId="77777777" w:rsidTr="00ED0F5E">
        <w:trPr>
          <w:trHeight w:val="60"/>
        </w:trPr>
        <w:tc>
          <w:tcPr>
            <w:tcW w:w="6941" w:type="dxa"/>
          </w:tcPr>
          <w:p w14:paraId="1A399F06" w14:textId="35468D22" w:rsidR="00017851" w:rsidRPr="00017851" w:rsidRDefault="00017851" w:rsidP="00A15AC7">
            <w:pPr>
              <w:ind w:left="35" w:hanging="35"/>
              <w:rPr>
                <w:sz w:val="16"/>
                <w:szCs w:val="16"/>
                <w:lang w:val="de-CH"/>
              </w:rPr>
            </w:pPr>
            <w:r w:rsidRPr="002A5EB0">
              <w:rPr>
                <w:sz w:val="16"/>
                <w:szCs w:val="16"/>
                <w:lang w:val="de-CH"/>
              </w:rPr>
              <w:t>Beurteilung</w:t>
            </w:r>
            <w:r w:rsidRPr="00017851">
              <w:rPr>
                <w:sz w:val="16"/>
                <w:szCs w:val="16"/>
                <w:lang w:val="de-CH"/>
              </w:rPr>
              <w:t xml:space="preserve">: Mögliche Lösung. Der Platzbedarf für eine Holzfeuerung ist gross. Die Bewirtschaftung einer Holzfeuerung ist aufwändig und teils störanfällig. Holz sollte </w:t>
            </w:r>
            <w:r w:rsidRPr="002A5EB0">
              <w:rPr>
                <w:sz w:val="16"/>
                <w:szCs w:val="16"/>
                <w:lang w:val="de-CH"/>
              </w:rPr>
              <w:t xml:space="preserve">generell </w:t>
            </w:r>
            <w:r w:rsidRPr="00017851">
              <w:rPr>
                <w:sz w:val="16"/>
                <w:szCs w:val="16"/>
                <w:lang w:val="de-CH"/>
              </w:rPr>
              <w:t xml:space="preserve">für Prozesse reserviert werden, die Temperaturen über 60°C verlangen bzw. als Betonersatz im Bauwesen eingesetzt werden. Die beste Verwendung von Holz ist die langfristige </w:t>
            </w:r>
            <w:r w:rsidR="00B945D1" w:rsidRPr="00B945D1">
              <w:rPr>
                <w:sz w:val="16"/>
                <w:szCs w:val="16"/>
                <w:lang w:val="de-CH"/>
              </w:rPr>
              <w:t>CO</w:t>
            </w:r>
            <w:r w:rsidR="00B945D1" w:rsidRPr="00B945D1">
              <w:rPr>
                <w:rFonts w:ascii="Cambria Math" w:hAnsi="Cambria Math" w:cs="Cambria Math"/>
                <w:sz w:val="16"/>
                <w:szCs w:val="16"/>
                <w:lang w:val="de-CH"/>
              </w:rPr>
              <w:t>₂</w:t>
            </w:r>
            <w:r w:rsidR="00B945D1" w:rsidRPr="00017851">
              <w:rPr>
                <w:sz w:val="16"/>
                <w:szCs w:val="16"/>
                <w:lang w:val="de-CH"/>
              </w:rPr>
              <w:t xml:space="preserve"> </w:t>
            </w:r>
            <w:r w:rsidRPr="00017851">
              <w:rPr>
                <w:sz w:val="16"/>
                <w:szCs w:val="16"/>
                <w:lang w:val="de-CH"/>
              </w:rPr>
              <w:t xml:space="preserve">Speicherung im Wald. </w:t>
            </w:r>
          </w:p>
          <w:p w14:paraId="31CF84DA" w14:textId="77777777" w:rsidR="00017851" w:rsidRPr="002A5EB0" w:rsidRDefault="00017851" w:rsidP="00A15AC7">
            <w:pPr>
              <w:ind w:left="720" w:hanging="685"/>
              <w:rPr>
                <w:sz w:val="16"/>
                <w:szCs w:val="16"/>
                <w:lang w:val="de-CH"/>
              </w:rPr>
            </w:pPr>
          </w:p>
        </w:tc>
        <w:tc>
          <w:tcPr>
            <w:tcW w:w="2121" w:type="dxa"/>
            <w:vMerge/>
          </w:tcPr>
          <w:p w14:paraId="01287E95" w14:textId="77777777" w:rsidR="00017851" w:rsidRDefault="00017851" w:rsidP="00017851">
            <w:pPr>
              <w:rPr>
                <w:lang w:val="de-CH"/>
              </w:rPr>
            </w:pPr>
          </w:p>
        </w:tc>
      </w:tr>
      <w:tr w:rsidR="00017851" w14:paraId="3B490E8F" w14:textId="77777777" w:rsidTr="00ED0F5E">
        <w:trPr>
          <w:trHeight w:val="60"/>
        </w:trPr>
        <w:tc>
          <w:tcPr>
            <w:tcW w:w="6941" w:type="dxa"/>
          </w:tcPr>
          <w:p w14:paraId="108F3A6B" w14:textId="44C68922" w:rsidR="00017851" w:rsidRPr="002A5EB0" w:rsidRDefault="00017851" w:rsidP="00A15AC7">
            <w:pPr>
              <w:pStyle w:val="Listenabsatz"/>
              <w:numPr>
                <w:ilvl w:val="0"/>
                <w:numId w:val="2"/>
              </w:numPr>
              <w:ind w:hanging="685"/>
              <w:rPr>
                <w:sz w:val="16"/>
                <w:szCs w:val="16"/>
                <w:lang w:val="de-CH"/>
              </w:rPr>
            </w:pPr>
            <w:r w:rsidRPr="002A5EB0">
              <w:rPr>
                <w:sz w:val="16"/>
                <w:szCs w:val="16"/>
                <w:lang w:val="de-CH"/>
              </w:rPr>
              <w:t>Wärmepumpe mit Erdsonde, Grundwasser oder Aussenluft als Energiequelle mit elektrisch angetriebener Wärmepumpe für Heizung und Warmwasser</w:t>
            </w:r>
          </w:p>
        </w:tc>
        <w:tc>
          <w:tcPr>
            <w:tcW w:w="2121" w:type="dxa"/>
            <w:vMerge w:val="restart"/>
          </w:tcPr>
          <w:p w14:paraId="61C0C4C1" w14:textId="43ADFDC7" w:rsidR="00017851" w:rsidRDefault="002A5EB0" w:rsidP="00B945D1">
            <w:pPr>
              <w:jc w:val="right"/>
              <w:rPr>
                <w:lang w:val="de-CH"/>
              </w:rPr>
            </w:pPr>
            <w:r>
              <w:rPr>
                <w:noProof/>
              </w:rPr>
              <w:drawing>
                <wp:inline distT="0" distB="0" distL="0" distR="0" wp14:anchorId="25026B77" wp14:editId="39A48C71">
                  <wp:extent cx="1409211" cy="925967"/>
                  <wp:effectExtent l="0" t="0" r="635" b="7620"/>
                  <wp:docPr id="6261422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0001" cy="926486"/>
                          </a:xfrm>
                          <a:prstGeom prst="rect">
                            <a:avLst/>
                          </a:prstGeom>
                          <a:noFill/>
                          <a:ln>
                            <a:noFill/>
                          </a:ln>
                        </pic:spPr>
                      </pic:pic>
                    </a:graphicData>
                  </a:graphic>
                </wp:inline>
              </w:drawing>
            </w:r>
          </w:p>
        </w:tc>
      </w:tr>
      <w:tr w:rsidR="00017851" w14:paraId="752F4B09" w14:textId="77777777" w:rsidTr="00ED0F5E">
        <w:trPr>
          <w:trHeight w:val="60"/>
        </w:trPr>
        <w:tc>
          <w:tcPr>
            <w:tcW w:w="6941" w:type="dxa"/>
          </w:tcPr>
          <w:p w14:paraId="3B9FE515" w14:textId="26F22CDE" w:rsidR="002A5EB0" w:rsidRPr="002A5EB0" w:rsidRDefault="002A5EB0" w:rsidP="00A15AC7">
            <w:pPr>
              <w:rPr>
                <w:sz w:val="16"/>
                <w:szCs w:val="16"/>
                <w:lang w:val="de-CH"/>
              </w:rPr>
            </w:pPr>
            <w:r w:rsidRPr="002A5EB0">
              <w:rPr>
                <w:sz w:val="16"/>
                <w:szCs w:val="16"/>
                <w:lang w:val="de-CH"/>
              </w:rPr>
              <w:t>Beurteilung: Umsetzbare Lösung. Wärmepumpen brauchen jährliche Wartung und eine Ersatzbeschaffung nach 15 – 20 Jahren, was entsprechendes Kapital beansprucht.</w:t>
            </w:r>
          </w:p>
          <w:p w14:paraId="002423F6" w14:textId="33B01000" w:rsidR="002A5EB0" w:rsidRPr="002A5EB0" w:rsidRDefault="002A5EB0" w:rsidP="00A15AC7">
            <w:pPr>
              <w:rPr>
                <w:sz w:val="16"/>
                <w:szCs w:val="16"/>
                <w:lang w:val="de-CH"/>
              </w:rPr>
            </w:pPr>
            <w:r w:rsidRPr="002A5EB0">
              <w:rPr>
                <w:sz w:val="16"/>
                <w:szCs w:val="16"/>
                <w:lang w:val="de-CH"/>
              </w:rPr>
              <w:t>Erdsonden-Wärmepumpe brauchen genügend Platz für die Erdwärmesonden.</w:t>
            </w:r>
          </w:p>
          <w:p w14:paraId="058432DE" w14:textId="04629131" w:rsidR="002A5EB0" w:rsidRPr="002A5EB0" w:rsidRDefault="002A5EB0" w:rsidP="00A15AC7">
            <w:pPr>
              <w:rPr>
                <w:sz w:val="16"/>
                <w:szCs w:val="16"/>
                <w:lang w:val="de-CH"/>
              </w:rPr>
            </w:pPr>
            <w:r w:rsidRPr="002A5EB0">
              <w:rPr>
                <w:sz w:val="16"/>
                <w:szCs w:val="16"/>
                <w:lang w:val="de-CH"/>
              </w:rPr>
              <w:t>Grundwasser-Wärmepumpen brauchen einen stabilen und passenden Grundwasserzustand.</w:t>
            </w:r>
          </w:p>
          <w:p w14:paraId="00F6E521" w14:textId="5468B953" w:rsidR="00017851" w:rsidRPr="002A5EB0" w:rsidRDefault="002A5EB0" w:rsidP="00A15AC7">
            <w:pPr>
              <w:rPr>
                <w:sz w:val="16"/>
                <w:szCs w:val="16"/>
                <w:lang w:val="de-CH"/>
              </w:rPr>
            </w:pPr>
            <w:r w:rsidRPr="002A5EB0">
              <w:rPr>
                <w:sz w:val="16"/>
                <w:szCs w:val="16"/>
                <w:lang w:val="de-CH"/>
              </w:rPr>
              <w:t>Luft-Wasser-Wärmepumpen (&gt; 100 kW) können nur bedingt eingesetzt werden. Zudem sind die Lärmemissionen zu beachten.</w:t>
            </w:r>
          </w:p>
        </w:tc>
        <w:tc>
          <w:tcPr>
            <w:tcW w:w="2121" w:type="dxa"/>
            <w:vMerge/>
          </w:tcPr>
          <w:p w14:paraId="1AC0E574" w14:textId="77777777" w:rsidR="00017851" w:rsidRDefault="00017851" w:rsidP="00017851">
            <w:pPr>
              <w:rPr>
                <w:lang w:val="de-CH"/>
              </w:rPr>
            </w:pPr>
          </w:p>
        </w:tc>
      </w:tr>
      <w:tr w:rsidR="00017851" w14:paraId="05AF5B4C" w14:textId="77777777" w:rsidTr="00ED0F5E">
        <w:tc>
          <w:tcPr>
            <w:tcW w:w="6941" w:type="dxa"/>
          </w:tcPr>
          <w:p w14:paraId="14213D52" w14:textId="00FF4816" w:rsidR="00017851" w:rsidRPr="002A5EB0" w:rsidRDefault="007B3CB2" w:rsidP="00A15AC7">
            <w:pPr>
              <w:ind w:left="720" w:hanging="685"/>
              <w:rPr>
                <w:sz w:val="16"/>
                <w:szCs w:val="16"/>
                <w:lang w:val="de-CH"/>
              </w:rPr>
            </w:pPr>
            <w:r>
              <w:rPr>
                <w:sz w:val="16"/>
                <w:szCs w:val="16"/>
                <w:lang w:val="de-CH"/>
              </w:rPr>
              <w:lastRenderedPageBreak/>
              <w:t>4</w:t>
            </w:r>
            <w:r w:rsidRPr="007B3CB2">
              <w:rPr>
                <w:sz w:val="16"/>
                <w:szCs w:val="16"/>
                <w:lang w:val="de-CH"/>
              </w:rPr>
              <w:t>.</w:t>
            </w:r>
            <w:r w:rsidRPr="007B3CB2">
              <w:rPr>
                <w:sz w:val="16"/>
                <w:szCs w:val="16"/>
                <w:lang w:val="de-CH"/>
              </w:rPr>
              <w:tab/>
            </w:r>
            <w:r>
              <w:rPr>
                <w:sz w:val="16"/>
                <w:szCs w:val="16"/>
                <w:lang w:val="de-CH"/>
              </w:rPr>
              <w:t xml:space="preserve">Mit </w:t>
            </w:r>
            <w:r w:rsidR="002A5EB0" w:rsidRPr="002A5EB0">
              <w:rPr>
                <w:sz w:val="16"/>
                <w:szCs w:val="16"/>
                <w:lang w:val="de-CH"/>
              </w:rPr>
              <w:t>Erdgas angetriebene Wärmepumpe. Für Heizung und Warmwasser ganzjährig, entweder monovalent oder bivalent mit mindestens 50% des Leistungsbedarfs und einem Wirkungsgrad von mindestens 120%.</w:t>
            </w:r>
          </w:p>
        </w:tc>
        <w:tc>
          <w:tcPr>
            <w:tcW w:w="2121" w:type="dxa"/>
            <w:vMerge w:val="restart"/>
          </w:tcPr>
          <w:p w14:paraId="5A3A327A" w14:textId="69D23C89" w:rsidR="00017851" w:rsidRDefault="002A5EB0" w:rsidP="00B945D1">
            <w:pPr>
              <w:jc w:val="right"/>
              <w:rPr>
                <w:lang w:val="de-CH"/>
              </w:rPr>
            </w:pPr>
            <w:r>
              <w:rPr>
                <w:noProof/>
              </w:rPr>
              <w:drawing>
                <wp:inline distT="0" distB="0" distL="0" distR="0" wp14:anchorId="665C493D" wp14:editId="46C97544">
                  <wp:extent cx="844855" cy="1038845"/>
                  <wp:effectExtent l="0" t="0" r="0" b="9525"/>
                  <wp:docPr id="6894834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5092" cy="1051433"/>
                          </a:xfrm>
                          <a:prstGeom prst="rect">
                            <a:avLst/>
                          </a:prstGeom>
                          <a:noFill/>
                          <a:ln>
                            <a:noFill/>
                          </a:ln>
                        </pic:spPr>
                      </pic:pic>
                    </a:graphicData>
                  </a:graphic>
                </wp:inline>
              </w:drawing>
            </w:r>
          </w:p>
        </w:tc>
      </w:tr>
      <w:tr w:rsidR="00017851" w14:paraId="321C095C" w14:textId="77777777" w:rsidTr="00ED0F5E">
        <w:tc>
          <w:tcPr>
            <w:tcW w:w="6941" w:type="dxa"/>
          </w:tcPr>
          <w:p w14:paraId="60D4F542" w14:textId="5BCBA240" w:rsidR="002A5EB0" w:rsidRPr="002A5EB0" w:rsidRDefault="002A5EB0" w:rsidP="00666464">
            <w:pPr>
              <w:ind w:left="35"/>
              <w:rPr>
                <w:sz w:val="16"/>
                <w:szCs w:val="16"/>
                <w:lang w:val="de-CH"/>
              </w:rPr>
            </w:pPr>
            <w:r>
              <w:rPr>
                <w:sz w:val="16"/>
                <w:szCs w:val="16"/>
                <w:lang w:val="de-CH"/>
              </w:rPr>
              <w:t xml:space="preserve">Beurteilung: </w:t>
            </w:r>
            <w:r w:rsidRPr="002A5EB0">
              <w:rPr>
                <w:sz w:val="16"/>
                <w:szCs w:val="16"/>
                <w:lang w:val="de-CH"/>
              </w:rPr>
              <w:t xml:space="preserve">Unbekannte Lösung. Primärer Wärmeersatz hin zu einer </w:t>
            </w:r>
            <w:r w:rsidR="00B945D1" w:rsidRPr="00B945D1">
              <w:rPr>
                <w:sz w:val="16"/>
                <w:szCs w:val="16"/>
                <w:lang w:val="de-CH"/>
              </w:rPr>
              <w:t>CO</w:t>
            </w:r>
            <w:r w:rsidR="00B945D1" w:rsidRPr="00B945D1">
              <w:rPr>
                <w:rFonts w:ascii="Cambria Math" w:hAnsi="Cambria Math" w:cs="Cambria Math"/>
                <w:sz w:val="16"/>
                <w:szCs w:val="16"/>
                <w:lang w:val="de-CH"/>
              </w:rPr>
              <w:t>₂</w:t>
            </w:r>
            <w:r w:rsidR="00B945D1" w:rsidRPr="00017851">
              <w:rPr>
                <w:sz w:val="16"/>
                <w:szCs w:val="16"/>
                <w:lang w:val="de-CH"/>
              </w:rPr>
              <w:t xml:space="preserve"> </w:t>
            </w:r>
            <w:r w:rsidRPr="002A5EB0">
              <w:rPr>
                <w:sz w:val="16"/>
                <w:szCs w:val="16"/>
                <w:lang w:val="de-CH"/>
              </w:rPr>
              <w:t xml:space="preserve">freien Lösung ist damit nicht vollständig gelöst. </w:t>
            </w:r>
            <w:r>
              <w:rPr>
                <w:sz w:val="16"/>
                <w:szCs w:val="16"/>
                <w:lang w:val="de-CH"/>
              </w:rPr>
              <w:t>Die Experten</w:t>
            </w:r>
            <w:r w:rsidRPr="002A5EB0">
              <w:rPr>
                <w:sz w:val="16"/>
                <w:szCs w:val="16"/>
                <w:lang w:val="de-CH"/>
              </w:rPr>
              <w:t xml:space="preserve"> kennen </w:t>
            </w:r>
            <w:r>
              <w:rPr>
                <w:sz w:val="16"/>
                <w:szCs w:val="16"/>
                <w:lang w:val="de-CH"/>
              </w:rPr>
              <w:t xml:space="preserve">zudem </w:t>
            </w:r>
            <w:r w:rsidRPr="002A5EB0">
              <w:rPr>
                <w:sz w:val="16"/>
                <w:szCs w:val="16"/>
                <w:lang w:val="de-CH"/>
              </w:rPr>
              <w:t>keine Referenzen mit Erdgas angetriebenen Wärmepumpen</w:t>
            </w:r>
            <w:r>
              <w:rPr>
                <w:sz w:val="16"/>
                <w:szCs w:val="16"/>
                <w:lang w:val="de-CH"/>
              </w:rPr>
              <w:t xml:space="preserve"> im Kanton Nidwalden</w:t>
            </w:r>
            <w:r w:rsidRPr="002A5EB0">
              <w:rPr>
                <w:sz w:val="16"/>
                <w:szCs w:val="16"/>
                <w:lang w:val="de-CH"/>
              </w:rPr>
              <w:t xml:space="preserve">. Diese Lösung scheint sich nicht auf dem Markt durchzusetzen. Ohne Gasnetz im Kanton Nidwalden </w:t>
            </w:r>
            <w:r>
              <w:rPr>
                <w:sz w:val="16"/>
                <w:szCs w:val="16"/>
                <w:lang w:val="de-CH"/>
              </w:rPr>
              <w:t>erscheint dieser Standard ausserdem nicht anwendbar</w:t>
            </w:r>
            <w:r w:rsidRPr="002A5EB0">
              <w:rPr>
                <w:sz w:val="16"/>
                <w:szCs w:val="16"/>
                <w:lang w:val="de-CH"/>
              </w:rPr>
              <w:t xml:space="preserve">. </w:t>
            </w:r>
          </w:p>
          <w:p w14:paraId="334E3872" w14:textId="77777777" w:rsidR="00017851" w:rsidRPr="002A5EB0" w:rsidRDefault="00017851" w:rsidP="00A15AC7">
            <w:pPr>
              <w:ind w:left="720" w:hanging="685"/>
              <w:rPr>
                <w:sz w:val="16"/>
                <w:szCs w:val="16"/>
                <w:lang w:val="de-CH"/>
              </w:rPr>
            </w:pPr>
          </w:p>
        </w:tc>
        <w:tc>
          <w:tcPr>
            <w:tcW w:w="2121" w:type="dxa"/>
            <w:vMerge/>
          </w:tcPr>
          <w:p w14:paraId="5AD82BFA" w14:textId="77777777" w:rsidR="00017851" w:rsidRDefault="00017851" w:rsidP="00DB1663">
            <w:pPr>
              <w:rPr>
                <w:lang w:val="de-CH"/>
              </w:rPr>
            </w:pPr>
          </w:p>
        </w:tc>
      </w:tr>
      <w:tr w:rsidR="00017851" w14:paraId="037F6774" w14:textId="77777777" w:rsidTr="00ED0F5E">
        <w:tc>
          <w:tcPr>
            <w:tcW w:w="6941" w:type="dxa"/>
          </w:tcPr>
          <w:p w14:paraId="789FEBB4" w14:textId="7B64BCDA" w:rsidR="00017851" w:rsidRPr="002A5EB0" w:rsidRDefault="007B3CB2" w:rsidP="00A15AC7">
            <w:pPr>
              <w:ind w:left="720" w:hanging="685"/>
              <w:rPr>
                <w:sz w:val="16"/>
                <w:szCs w:val="16"/>
                <w:lang w:val="de-CH"/>
              </w:rPr>
            </w:pPr>
            <w:r>
              <w:rPr>
                <w:sz w:val="16"/>
                <w:szCs w:val="16"/>
                <w:lang w:val="de-CH"/>
              </w:rPr>
              <w:t>5</w:t>
            </w:r>
            <w:r w:rsidRPr="007B3CB2">
              <w:rPr>
                <w:sz w:val="16"/>
                <w:szCs w:val="16"/>
                <w:lang w:val="de-CH"/>
              </w:rPr>
              <w:t>.</w:t>
            </w:r>
            <w:r w:rsidRPr="007B3CB2">
              <w:rPr>
                <w:sz w:val="16"/>
                <w:szCs w:val="16"/>
                <w:lang w:val="de-CH"/>
              </w:rPr>
              <w:tab/>
            </w:r>
            <w:r w:rsidR="002A5EB0" w:rsidRPr="002A5EB0">
              <w:rPr>
                <w:sz w:val="16"/>
                <w:szCs w:val="16"/>
                <w:lang w:val="de-CH"/>
              </w:rPr>
              <w:t xml:space="preserve">Fernwärmeanschluss. Anschluss an ein Netz mit Wärme aus </w:t>
            </w:r>
            <w:r w:rsidR="00980698">
              <w:rPr>
                <w:sz w:val="16"/>
                <w:szCs w:val="16"/>
                <w:lang w:val="de-CH"/>
              </w:rPr>
              <w:t>Kehrichtverbrennungsanlagen (</w:t>
            </w:r>
            <w:r w:rsidR="002A5EB0" w:rsidRPr="002A5EB0">
              <w:rPr>
                <w:sz w:val="16"/>
                <w:szCs w:val="16"/>
                <w:lang w:val="de-CH"/>
              </w:rPr>
              <w:t>KVA</w:t>
            </w:r>
            <w:r w:rsidR="00980698">
              <w:rPr>
                <w:sz w:val="16"/>
                <w:szCs w:val="16"/>
                <w:lang w:val="de-CH"/>
              </w:rPr>
              <w:t>)</w:t>
            </w:r>
            <w:r w:rsidR="002A5EB0" w:rsidRPr="002A5EB0">
              <w:rPr>
                <w:sz w:val="16"/>
                <w:szCs w:val="16"/>
                <w:lang w:val="de-CH"/>
              </w:rPr>
              <w:t xml:space="preserve">, </w:t>
            </w:r>
            <w:r w:rsidR="00980698">
              <w:rPr>
                <w:sz w:val="16"/>
                <w:szCs w:val="16"/>
                <w:lang w:val="de-CH"/>
              </w:rPr>
              <w:t>Abwasserreinigungsanlagen (</w:t>
            </w:r>
            <w:r w:rsidR="002A5EB0" w:rsidRPr="002A5EB0">
              <w:rPr>
                <w:sz w:val="16"/>
                <w:szCs w:val="16"/>
                <w:lang w:val="de-CH"/>
              </w:rPr>
              <w:t>ARA</w:t>
            </w:r>
            <w:r w:rsidR="00980698">
              <w:rPr>
                <w:sz w:val="16"/>
                <w:szCs w:val="16"/>
                <w:lang w:val="de-CH"/>
              </w:rPr>
              <w:t>)</w:t>
            </w:r>
            <w:r w:rsidR="002A5EB0" w:rsidRPr="002A5EB0">
              <w:rPr>
                <w:sz w:val="16"/>
                <w:szCs w:val="16"/>
                <w:lang w:val="de-CH"/>
              </w:rPr>
              <w:t xml:space="preserve"> oder erneuerbaren Energien</w:t>
            </w:r>
          </w:p>
        </w:tc>
        <w:tc>
          <w:tcPr>
            <w:tcW w:w="2121" w:type="dxa"/>
            <w:vMerge w:val="restart"/>
          </w:tcPr>
          <w:p w14:paraId="2A225E10" w14:textId="109C69EB" w:rsidR="00017851" w:rsidRDefault="002A5EB0" w:rsidP="00B945D1">
            <w:pPr>
              <w:jc w:val="right"/>
              <w:rPr>
                <w:lang w:val="de-CH"/>
              </w:rPr>
            </w:pPr>
            <w:r>
              <w:rPr>
                <w:noProof/>
              </w:rPr>
              <w:drawing>
                <wp:inline distT="0" distB="0" distL="0" distR="0" wp14:anchorId="6A8F117D" wp14:editId="77F9D767">
                  <wp:extent cx="1014298" cy="1053477"/>
                  <wp:effectExtent l="0" t="0" r="0" b="0"/>
                  <wp:docPr id="156331115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4537" cy="1064112"/>
                          </a:xfrm>
                          <a:prstGeom prst="rect">
                            <a:avLst/>
                          </a:prstGeom>
                          <a:noFill/>
                          <a:ln>
                            <a:noFill/>
                          </a:ln>
                        </pic:spPr>
                      </pic:pic>
                    </a:graphicData>
                  </a:graphic>
                </wp:inline>
              </w:drawing>
            </w:r>
          </w:p>
        </w:tc>
      </w:tr>
      <w:tr w:rsidR="00017851" w14:paraId="5AE134BA" w14:textId="77777777" w:rsidTr="00ED0F5E">
        <w:tc>
          <w:tcPr>
            <w:tcW w:w="6941" w:type="dxa"/>
          </w:tcPr>
          <w:p w14:paraId="46588415" w14:textId="456DDD16" w:rsidR="002A5EB0" w:rsidRPr="002A5EB0" w:rsidRDefault="002A5EB0" w:rsidP="00666464">
            <w:pPr>
              <w:ind w:left="35"/>
              <w:rPr>
                <w:sz w:val="16"/>
                <w:szCs w:val="16"/>
                <w:lang w:val="de-CH"/>
              </w:rPr>
            </w:pPr>
            <w:r>
              <w:rPr>
                <w:sz w:val="16"/>
                <w:szCs w:val="16"/>
                <w:lang w:val="de-CH"/>
              </w:rPr>
              <w:t>Beurteilung</w:t>
            </w:r>
            <w:r w:rsidRPr="002A5EB0">
              <w:rPr>
                <w:sz w:val="16"/>
                <w:szCs w:val="16"/>
                <w:lang w:val="de-CH"/>
              </w:rPr>
              <w:t xml:space="preserve">: Einfach umzusetzende Lösung. Der Anschluss an einen Wärmeverbund kann/ist teilweise die einzige bzw. aus </w:t>
            </w:r>
            <w:r w:rsidR="00B945D1">
              <w:rPr>
                <w:sz w:val="16"/>
                <w:szCs w:val="16"/>
                <w:lang w:val="de-CH"/>
              </w:rPr>
              <w:t>Investorensicht</w:t>
            </w:r>
            <w:r w:rsidRPr="002A5EB0">
              <w:rPr>
                <w:sz w:val="16"/>
                <w:szCs w:val="16"/>
                <w:lang w:val="de-CH"/>
              </w:rPr>
              <w:t xml:space="preserve"> beste Lösung. Neben der möglichen einfachen Umsetzung gilt es vor allem auch das Sorglospaket und die tiefen Investitionskosten über 50 Jahre zu berücksichtigen.</w:t>
            </w:r>
          </w:p>
          <w:p w14:paraId="49B0863C" w14:textId="77777777" w:rsidR="00017851" w:rsidRPr="002A5EB0" w:rsidRDefault="00017851" w:rsidP="00A15AC7">
            <w:pPr>
              <w:ind w:left="720" w:hanging="685"/>
              <w:rPr>
                <w:sz w:val="16"/>
                <w:szCs w:val="16"/>
                <w:lang w:val="de-CH"/>
              </w:rPr>
            </w:pPr>
          </w:p>
        </w:tc>
        <w:tc>
          <w:tcPr>
            <w:tcW w:w="2121" w:type="dxa"/>
            <w:vMerge/>
          </w:tcPr>
          <w:p w14:paraId="141A9560" w14:textId="77777777" w:rsidR="00017851" w:rsidRDefault="00017851" w:rsidP="00DB1663">
            <w:pPr>
              <w:rPr>
                <w:lang w:val="de-CH"/>
              </w:rPr>
            </w:pPr>
          </w:p>
        </w:tc>
      </w:tr>
      <w:tr w:rsidR="00017851" w14:paraId="7390A942" w14:textId="77777777" w:rsidTr="00ED0F5E">
        <w:tc>
          <w:tcPr>
            <w:tcW w:w="6941" w:type="dxa"/>
          </w:tcPr>
          <w:p w14:paraId="0CB0ADE6" w14:textId="788DA5E5" w:rsidR="00017851" w:rsidRPr="002A5EB0" w:rsidRDefault="007B3CB2" w:rsidP="00A15AC7">
            <w:pPr>
              <w:ind w:left="720" w:hanging="685"/>
              <w:rPr>
                <w:sz w:val="16"/>
                <w:szCs w:val="16"/>
                <w:lang w:val="de-CH"/>
              </w:rPr>
            </w:pPr>
            <w:r>
              <w:rPr>
                <w:sz w:val="16"/>
                <w:szCs w:val="16"/>
                <w:lang w:val="de-CH"/>
              </w:rPr>
              <w:t>6</w:t>
            </w:r>
            <w:r w:rsidRPr="007B3CB2">
              <w:rPr>
                <w:sz w:val="16"/>
                <w:szCs w:val="16"/>
                <w:lang w:val="de-CH"/>
              </w:rPr>
              <w:t>.</w:t>
            </w:r>
            <w:r w:rsidRPr="007B3CB2">
              <w:rPr>
                <w:sz w:val="16"/>
                <w:szCs w:val="16"/>
                <w:lang w:val="de-CH"/>
              </w:rPr>
              <w:tab/>
            </w:r>
            <w:r w:rsidR="002A5EB0" w:rsidRPr="002A5EB0">
              <w:rPr>
                <w:sz w:val="16"/>
                <w:szCs w:val="16"/>
                <w:lang w:val="de-CH"/>
              </w:rPr>
              <w:t>Wärmekraftkopplung</w:t>
            </w:r>
            <w:r w:rsidR="00ED0F5E">
              <w:rPr>
                <w:sz w:val="16"/>
                <w:szCs w:val="16"/>
                <w:lang w:val="de-CH"/>
              </w:rPr>
              <w:t xml:space="preserve">: </w:t>
            </w:r>
            <w:r w:rsidR="002A5EB0" w:rsidRPr="002A5EB0">
              <w:rPr>
                <w:sz w:val="16"/>
                <w:szCs w:val="16"/>
                <w:lang w:val="de-CH"/>
              </w:rPr>
              <w:t>Elektrischer Wirkungsgrad mindestens 25% und für mindestens 60% des Wärmebedarfs für Heizung und Warmwasser</w:t>
            </w:r>
          </w:p>
        </w:tc>
        <w:tc>
          <w:tcPr>
            <w:tcW w:w="2121" w:type="dxa"/>
            <w:vMerge w:val="restart"/>
          </w:tcPr>
          <w:p w14:paraId="710BFA5D" w14:textId="484C48BA" w:rsidR="00017851" w:rsidRDefault="002A5EB0" w:rsidP="00B945D1">
            <w:pPr>
              <w:jc w:val="right"/>
              <w:rPr>
                <w:lang w:val="de-CH"/>
              </w:rPr>
            </w:pPr>
            <w:r>
              <w:rPr>
                <w:noProof/>
              </w:rPr>
              <w:drawing>
                <wp:inline distT="0" distB="0" distL="0" distR="0" wp14:anchorId="2FC623D1" wp14:editId="05488897">
                  <wp:extent cx="1322641" cy="841835"/>
                  <wp:effectExtent l="0" t="0" r="0" b="0"/>
                  <wp:docPr id="197325211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8706" cy="845695"/>
                          </a:xfrm>
                          <a:prstGeom prst="rect">
                            <a:avLst/>
                          </a:prstGeom>
                          <a:noFill/>
                          <a:ln>
                            <a:noFill/>
                          </a:ln>
                        </pic:spPr>
                      </pic:pic>
                    </a:graphicData>
                  </a:graphic>
                </wp:inline>
              </w:drawing>
            </w:r>
          </w:p>
        </w:tc>
      </w:tr>
      <w:tr w:rsidR="00017851" w14:paraId="1CFF9464" w14:textId="77777777" w:rsidTr="00ED0F5E">
        <w:tc>
          <w:tcPr>
            <w:tcW w:w="6941" w:type="dxa"/>
          </w:tcPr>
          <w:p w14:paraId="6E53A929" w14:textId="7AEA2C61" w:rsidR="002A5EB0" w:rsidRPr="002A5EB0" w:rsidRDefault="002A5EB0" w:rsidP="00666464">
            <w:pPr>
              <w:rPr>
                <w:sz w:val="16"/>
                <w:szCs w:val="16"/>
                <w:lang w:val="de-CH"/>
              </w:rPr>
            </w:pPr>
            <w:r>
              <w:rPr>
                <w:sz w:val="16"/>
                <w:szCs w:val="16"/>
                <w:lang w:val="de-CH"/>
              </w:rPr>
              <w:t>Beurteilung:</w:t>
            </w:r>
            <w:r w:rsidRPr="002A5EB0">
              <w:rPr>
                <w:sz w:val="16"/>
                <w:szCs w:val="16"/>
                <w:lang w:val="de-CH"/>
              </w:rPr>
              <w:t xml:space="preserve"> Eine Wärmekraftkopplungsanlage produziert Strom und Wärme. Diese Anlagen bedürfen entsprechend Platz und Infrastruktur. Dieser Platz und das technische Wissen sind meist nicht vorhanden. </w:t>
            </w:r>
          </w:p>
          <w:p w14:paraId="0FBA4356" w14:textId="22C77FFE" w:rsidR="00017851" w:rsidRPr="002A5EB0" w:rsidRDefault="002A5EB0" w:rsidP="00666464">
            <w:pPr>
              <w:rPr>
                <w:sz w:val="16"/>
                <w:szCs w:val="16"/>
                <w:lang w:val="de-CH"/>
              </w:rPr>
            </w:pPr>
            <w:r w:rsidRPr="002A5EB0">
              <w:rPr>
                <w:sz w:val="16"/>
                <w:szCs w:val="16"/>
                <w:lang w:val="de-CH"/>
              </w:rPr>
              <w:t>Die Wärmekraftkopplungsanlage gilt als sehr wartungsintensiv.</w:t>
            </w:r>
          </w:p>
        </w:tc>
        <w:tc>
          <w:tcPr>
            <w:tcW w:w="2121" w:type="dxa"/>
            <w:vMerge/>
          </w:tcPr>
          <w:p w14:paraId="77B6058B" w14:textId="77777777" w:rsidR="00017851" w:rsidRDefault="00017851" w:rsidP="00DB1663">
            <w:pPr>
              <w:rPr>
                <w:lang w:val="de-CH"/>
              </w:rPr>
            </w:pPr>
          </w:p>
        </w:tc>
      </w:tr>
      <w:tr w:rsidR="002A5EB0" w14:paraId="1EA352A0" w14:textId="77777777" w:rsidTr="00ED0F5E">
        <w:tc>
          <w:tcPr>
            <w:tcW w:w="6941" w:type="dxa"/>
          </w:tcPr>
          <w:p w14:paraId="4EC2532F" w14:textId="6BB143F9" w:rsidR="002A5EB0" w:rsidRPr="002A5EB0" w:rsidRDefault="007B3CB2" w:rsidP="00A15AC7">
            <w:pPr>
              <w:ind w:left="720" w:hanging="685"/>
              <w:rPr>
                <w:sz w:val="16"/>
                <w:szCs w:val="16"/>
                <w:lang w:val="de-CH"/>
              </w:rPr>
            </w:pPr>
            <w:r>
              <w:rPr>
                <w:sz w:val="16"/>
                <w:szCs w:val="16"/>
                <w:lang w:val="de-CH"/>
              </w:rPr>
              <w:t>7</w:t>
            </w:r>
            <w:r w:rsidRPr="007B3CB2">
              <w:rPr>
                <w:sz w:val="16"/>
                <w:szCs w:val="16"/>
                <w:lang w:val="de-CH"/>
              </w:rPr>
              <w:t>.</w:t>
            </w:r>
            <w:r w:rsidRPr="007B3CB2">
              <w:rPr>
                <w:sz w:val="16"/>
                <w:szCs w:val="16"/>
                <w:lang w:val="de-CH"/>
              </w:rPr>
              <w:tab/>
            </w:r>
            <w:r w:rsidR="002A5EB0" w:rsidRPr="002A5EB0">
              <w:rPr>
                <w:sz w:val="16"/>
                <w:szCs w:val="16"/>
                <w:lang w:val="de-CH"/>
              </w:rPr>
              <w:t xml:space="preserve">Warmwasserwärmepumpe mit Photovoltaikanlage. Wärmepumpenboiler und Photovoltaikanlage mit mindestens 5 </w:t>
            </w:r>
            <w:proofErr w:type="spellStart"/>
            <w:r w:rsidR="002A5EB0" w:rsidRPr="002A5EB0">
              <w:rPr>
                <w:sz w:val="16"/>
                <w:szCs w:val="16"/>
                <w:lang w:val="de-CH"/>
              </w:rPr>
              <w:t>Wp</w:t>
            </w:r>
            <w:proofErr w:type="spellEnd"/>
            <w:r w:rsidR="002A5EB0" w:rsidRPr="002A5EB0">
              <w:rPr>
                <w:sz w:val="16"/>
                <w:szCs w:val="16"/>
                <w:lang w:val="de-CH"/>
              </w:rPr>
              <w:t>/m2 Energiebezugsfläche</w:t>
            </w:r>
          </w:p>
        </w:tc>
        <w:tc>
          <w:tcPr>
            <w:tcW w:w="2121" w:type="dxa"/>
            <w:vMerge w:val="restart"/>
          </w:tcPr>
          <w:p w14:paraId="0FFE021A" w14:textId="1E6530AD" w:rsidR="002A5EB0" w:rsidRDefault="002A5EB0" w:rsidP="00B945D1">
            <w:pPr>
              <w:jc w:val="right"/>
              <w:rPr>
                <w:lang w:val="de-CH"/>
              </w:rPr>
            </w:pPr>
            <w:r>
              <w:rPr>
                <w:noProof/>
              </w:rPr>
              <w:drawing>
                <wp:inline distT="0" distB="0" distL="0" distR="0" wp14:anchorId="7A49FDA3" wp14:editId="6B97C43C">
                  <wp:extent cx="1046697" cy="964938"/>
                  <wp:effectExtent l="0" t="0" r="1270" b="6985"/>
                  <wp:docPr id="103894671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2601" cy="970381"/>
                          </a:xfrm>
                          <a:prstGeom prst="rect">
                            <a:avLst/>
                          </a:prstGeom>
                          <a:noFill/>
                          <a:ln>
                            <a:noFill/>
                          </a:ln>
                        </pic:spPr>
                      </pic:pic>
                    </a:graphicData>
                  </a:graphic>
                </wp:inline>
              </w:drawing>
            </w:r>
          </w:p>
        </w:tc>
      </w:tr>
      <w:tr w:rsidR="002A5EB0" w14:paraId="06A5B73A" w14:textId="77777777" w:rsidTr="00ED0F5E">
        <w:tc>
          <w:tcPr>
            <w:tcW w:w="6941" w:type="dxa"/>
          </w:tcPr>
          <w:p w14:paraId="21FE1FA8" w14:textId="50179BE8" w:rsidR="002A5EB0" w:rsidRPr="002A5EB0" w:rsidRDefault="002A5EB0" w:rsidP="00666464">
            <w:pPr>
              <w:ind w:left="35"/>
              <w:rPr>
                <w:sz w:val="16"/>
                <w:szCs w:val="16"/>
                <w:lang w:val="de-CH"/>
              </w:rPr>
            </w:pPr>
            <w:r>
              <w:rPr>
                <w:sz w:val="16"/>
                <w:szCs w:val="16"/>
              </w:rPr>
              <w:t xml:space="preserve">Beurteilung: </w:t>
            </w:r>
            <w:r w:rsidRPr="002A5EB0">
              <w:rPr>
                <w:sz w:val="16"/>
                <w:szCs w:val="16"/>
              </w:rPr>
              <w:t>Komplizierte und unvollständige Lösung. Die Heizung bleibt weiterhin fossil und müsste bei einer zu erwartenden Gesetzesverschärfung nachträglich angepasst werden.</w:t>
            </w:r>
          </w:p>
        </w:tc>
        <w:tc>
          <w:tcPr>
            <w:tcW w:w="2121" w:type="dxa"/>
            <w:vMerge/>
          </w:tcPr>
          <w:p w14:paraId="2D112ADA" w14:textId="77777777" w:rsidR="002A5EB0" w:rsidRDefault="002A5EB0" w:rsidP="00DB1663">
            <w:pPr>
              <w:rPr>
                <w:lang w:val="de-CH"/>
              </w:rPr>
            </w:pPr>
          </w:p>
        </w:tc>
      </w:tr>
      <w:tr w:rsidR="002A5EB0" w14:paraId="73710169" w14:textId="77777777" w:rsidTr="00ED0F5E">
        <w:tc>
          <w:tcPr>
            <w:tcW w:w="6941" w:type="dxa"/>
          </w:tcPr>
          <w:p w14:paraId="2A036401" w14:textId="2E081D0C" w:rsidR="002A5EB0" w:rsidRPr="002A5EB0" w:rsidRDefault="007B3CB2" w:rsidP="00A15AC7">
            <w:pPr>
              <w:ind w:left="720" w:hanging="685"/>
              <w:rPr>
                <w:sz w:val="16"/>
                <w:szCs w:val="16"/>
                <w:lang w:val="de-CH"/>
              </w:rPr>
            </w:pPr>
            <w:r>
              <w:rPr>
                <w:sz w:val="16"/>
                <w:szCs w:val="16"/>
                <w:lang w:val="de-CH"/>
              </w:rPr>
              <w:t>8.</w:t>
            </w:r>
            <w:r w:rsidRPr="007B3CB2">
              <w:rPr>
                <w:sz w:val="16"/>
                <w:szCs w:val="16"/>
                <w:lang w:val="de-CH"/>
              </w:rPr>
              <w:tab/>
            </w:r>
            <w:r w:rsidR="002A5EB0" w:rsidRPr="002A5EB0">
              <w:rPr>
                <w:sz w:val="16"/>
                <w:szCs w:val="16"/>
                <w:lang w:val="de-CH"/>
              </w:rPr>
              <w:t>Ersatz der Fenster entlang der thermischen Gebäudehülle. U-Wert bestehende Fenster mindestens 2.0 W/m2K und U-Wert Glas neue Fenster höchstens 0.7 W/m2K</w:t>
            </w:r>
          </w:p>
        </w:tc>
        <w:tc>
          <w:tcPr>
            <w:tcW w:w="2121" w:type="dxa"/>
            <w:vMerge w:val="restart"/>
          </w:tcPr>
          <w:p w14:paraId="5F20412B" w14:textId="748B3020" w:rsidR="002A5EB0" w:rsidRDefault="002A5EB0" w:rsidP="00B945D1">
            <w:pPr>
              <w:jc w:val="right"/>
              <w:rPr>
                <w:lang w:val="de-CH"/>
              </w:rPr>
            </w:pPr>
            <w:r>
              <w:rPr>
                <w:noProof/>
              </w:rPr>
              <w:drawing>
                <wp:inline distT="0" distB="0" distL="0" distR="0" wp14:anchorId="6BB7CA79" wp14:editId="1836062E">
                  <wp:extent cx="1013726" cy="998498"/>
                  <wp:effectExtent l="0" t="0" r="0" b="0"/>
                  <wp:docPr id="27273075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2002" cy="1006649"/>
                          </a:xfrm>
                          <a:prstGeom prst="rect">
                            <a:avLst/>
                          </a:prstGeom>
                          <a:noFill/>
                          <a:ln>
                            <a:noFill/>
                          </a:ln>
                        </pic:spPr>
                      </pic:pic>
                    </a:graphicData>
                  </a:graphic>
                </wp:inline>
              </w:drawing>
            </w:r>
          </w:p>
        </w:tc>
      </w:tr>
      <w:tr w:rsidR="002A5EB0" w14:paraId="682FBC1C" w14:textId="77777777" w:rsidTr="00ED0F5E">
        <w:tc>
          <w:tcPr>
            <w:tcW w:w="6941" w:type="dxa"/>
          </w:tcPr>
          <w:p w14:paraId="10F48465" w14:textId="2191153A" w:rsidR="002A5EB0" w:rsidRPr="002A5EB0" w:rsidRDefault="002A5EB0" w:rsidP="00666464">
            <w:pPr>
              <w:ind w:left="35"/>
              <w:rPr>
                <w:sz w:val="16"/>
                <w:szCs w:val="16"/>
                <w:lang w:val="de-CH"/>
              </w:rPr>
            </w:pPr>
            <w:r>
              <w:rPr>
                <w:sz w:val="16"/>
                <w:szCs w:val="16"/>
              </w:rPr>
              <w:t xml:space="preserve">Beurteilung: </w:t>
            </w:r>
            <w:r w:rsidR="008454CE">
              <w:rPr>
                <w:sz w:val="16"/>
                <w:szCs w:val="16"/>
              </w:rPr>
              <w:t xml:space="preserve">Unterstützende </w:t>
            </w:r>
            <w:r w:rsidRPr="002A5EB0">
              <w:rPr>
                <w:sz w:val="16"/>
                <w:szCs w:val="16"/>
              </w:rPr>
              <w:t xml:space="preserve">Lösung. </w:t>
            </w:r>
            <w:r>
              <w:rPr>
                <w:sz w:val="16"/>
                <w:szCs w:val="16"/>
              </w:rPr>
              <w:t>Der p</w:t>
            </w:r>
            <w:r w:rsidRPr="002A5EB0">
              <w:rPr>
                <w:sz w:val="16"/>
                <w:szCs w:val="16"/>
              </w:rPr>
              <w:t xml:space="preserve">rimäre Wärmeersatz hin zu einer </w:t>
            </w:r>
            <w:r w:rsidR="00B945D1" w:rsidRPr="00B945D1">
              <w:rPr>
                <w:sz w:val="16"/>
                <w:szCs w:val="16"/>
                <w:lang w:val="de-CH"/>
              </w:rPr>
              <w:t>CO</w:t>
            </w:r>
            <w:r w:rsidR="00B945D1" w:rsidRPr="00B945D1">
              <w:rPr>
                <w:rFonts w:ascii="Cambria Math" w:hAnsi="Cambria Math" w:cs="Cambria Math"/>
                <w:sz w:val="16"/>
                <w:szCs w:val="16"/>
                <w:lang w:val="de-CH"/>
              </w:rPr>
              <w:t>₂</w:t>
            </w:r>
            <w:r w:rsidR="00B945D1" w:rsidRPr="00017851">
              <w:rPr>
                <w:sz w:val="16"/>
                <w:szCs w:val="16"/>
                <w:lang w:val="de-CH"/>
              </w:rPr>
              <w:t xml:space="preserve"> </w:t>
            </w:r>
            <w:r w:rsidRPr="002A5EB0">
              <w:rPr>
                <w:sz w:val="16"/>
                <w:szCs w:val="16"/>
              </w:rPr>
              <w:t>freien Lösung ist damit nicht gelöst.</w:t>
            </w:r>
            <w:r>
              <w:rPr>
                <w:sz w:val="16"/>
                <w:szCs w:val="16"/>
              </w:rPr>
              <w:t xml:space="preserve"> </w:t>
            </w:r>
            <w:r w:rsidR="008454CE">
              <w:rPr>
                <w:sz w:val="16"/>
                <w:szCs w:val="16"/>
              </w:rPr>
              <w:t xml:space="preserve">Jedoch ist jede eingesparte Wärmeeinheit zu </w:t>
            </w:r>
            <w:proofErr w:type="spellStart"/>
            <w:r w:rsidR="008454CE">
              <w:rPr>
                <w:sz w:val="16"/>
                <w:szCs w:val="16"/>
              </w:rPr>
              <w:t>begrüssen</w:t>
            </w:r>
            <w:proofErr w:type="spellEnd"/>
            <w:r w:rsidR="008454CE">
              <w:rPr>
                <w:sz w:val="16"/>
                <w:szCs w:val="16"/>
              </w:rPr>
              <w:t xml:space="preserve">. </w:t>
            </w:r>
            <w:r w:rsidRPr="002A5EB0">
              <w:rPr>
                <w:sz w:val="16"/>
                <w:szCs w:val="16"/>
              </w:rPr>
              <w:t xml:space="preserve">Ein kompletter Fensterersatz kostet viel Geld </w:t>
            </w:r>
            <w:r w:rsidR="008454CE">
              <w:rPr>
                <w:sz w:val="16"/>
                <w:szCs w:val="16"/>
              </w:rPr>
              <w:t>und ist</w:t>
            </w:r>
            <w:r w:rsidRPr="002A5EB0">
              <w:rPr>
                <w:sz w:val="16"/>
                <w:szCs w:val="16"/>
              </w:rPr>
              <w:t xml:space="preserve"> </w:t>
            </w:r>
            <w:r w:rsidR="008454CE">
              <w:rPr>
                <w:sz w:val="16"/>
                <w:szCs w:val="16"/>
              </w:rPr>
              <w:t>mit entsprechendem baulichem Eingriff</w:t>
            </w:r>
            <w:r w:rsidRPr="002A5EB0">
              <w:rPr>
                <w:sz w:val="16"/>
                <w:szCs w:val="16"/>
              </w:rPr>
              <w:t xml:space="preserve"> umzusetzen. </w:t>
            </w:r>
          </w:p>
        </w:tc>
        <w:tc>
          <w:tcPr>
            <w:tcW w:w="2121" w:type="dxa"/>
            <w:vMerge/>
          </w:tcPr>
          <w:p w14:paraId="0F87CF7E" w14:textId="77777777" w:rsidR="002A5EB0" w:rsidRDefault="002A5EB0" w:rsidP="00DB1663">
            <w:pPr>
              <w:rPr>
                <w:lang w:val="de-CH"/>
              </w:rPr>
            </w:pPr>
          </w:p>
        </w:tc>
      </w:tr>
      <w:tr w:rsidR="002A5EB0" w14:paraId="208536D0" w14:textId="77777777" w:rsidTr="00ED0F5E">
        <w:tc>
          <w:tcPr>
            <w:tcW w:w="6941" w:type="dxa"/>
          </w:tcPr>
          <w:p w14:paraId="00435958" w14:textId="047BEF4E" w:rsidR="002A5EB0" w:rsidRPr="002A5EB0" w:rsidRDefault="007B3CB2" w:rsidP="00A15AC7">
            <w:pPr>
              <w:ind w:left="720" w:hanging="685"/>
              <w:rPr>
                <w:sz w:val="16"/>
                <w:szCs w:val="16"/>
                <w:lang w:val="de-CH"/>
              </w:rPr>
            </w:pPr>
            <w:r>
              <w:rPr>
                <w:sz w:val="16"/>
                <w:szCs w:val="16"/>
                <w:lang w:val="de-CH"/>
              </w:rPr>
              <w:t>9</w:t>
            </w:r>
            <w:r w:rsidRPr="007B3CB2">
              <w:rPr>
                <w:sz w:val="16"/>
                <w:szCs w:val="16"/>
                <w:lang w:val="de-CH"/>
              </w:rPr>
              <w:t>.</w:t>
            </w:r>
            <w:r w:rsidRPr="007B3CB2">
              <w:rPr>
                <w:sz w:val="16"/>
                <w:szCs w:val="16"/>
                <w:lang w:val="de-CH"/>
              </w:rPr>
              <w:tab/>
            </w:r>
            <w:r w:rsidR="00B945D1" w:rsidRPr="00B945D1">
              <w:rPr>
                <w:sz w:val="16"/>
                <w:szCs w:val="16"/>
                <w:lang w:val="de-CH"/>
              </w:rPr>
              <w:t>Wärmedämmung von Fassade und/oder Dach U-Wert bestehende Fassade/Dach/Estrichboden mindestens 0.6 W/m2K und U-Wert neue Fassade/Dach/Estrichboden höchstens 0.2 W/m2K, Fläche mindestens 0.5 m2 pro m2 Energiebezugsfläche</w:t>
            </w:r>
          </w:p>
        </w:tc>
        <w:tc>
          <w:tcPr>
            <w:tcW w:w="2121" w:type="dxa"/>
            <w:vMerge w:val="restart"/>
          </w:tcPr>
          <w:p w14:paraId="32C73D3E" w14:textId="7603DB6B" w:rsidR="002A5EB0" w:rsidRDefault="002A5EB0" w:rsidP="00B945D1">
            <w:pPr>
              <w:jc w:val="right"/>
              <w:rPr>
                <w:lang w:val="de-CH"/>
              </w:rPr>
            </w:pPr>
            <w:r>
              <w:rPr>
                <w:noProof/>
              </w:rPr>
              <w:drawing>
                <wp:inline distT="0" distB="0" distL="0" distR="0" wp14:anchorId="2F965ED4" wp14:editId="13DCC9CA">
                  <wp:extent cx="1230660" cy="821848"/>
                  <wp:effectExtent l="0" t="0" r="7620" b="0"/>
                  <wp:docPr id="90603367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4734" cy="824569"/>
                          </a:xfrm>
                          <a:prstGeom prst="rect">
                            <a:avLst/>
                          </a:prstGeom>
                          <a:noFill/>
                          <a:ln>
                            <a:noFill/>
                          </a:ln>
                        </pic:spPr>
                      </pic:pic>
                    </a:graphicData>
                  </a:graphic>
                </wp:inline>
              </w:drawing>
            </w:r>
          </w:p>
        </w:tc>
      </w:tr>
      <w:tr w:rsidR="002A5EB0" w14:paraId="6FF46F76" w14:textId="77777777" w:rsidTr="00ED0F5E">
        <w:tc>
          <w:tcPr>
            <w:tcW w:w="6941" w:type="dxa"/>
          </w:tcPr>
          <w:p w14:paraId="786774A1" w14:textId="0FE6BAF9" w:rsidR="002A5EB0" w:rsidRPr="002A5EB0" w:rsidRDefault="003853F7" w:rsidP="00666464">
            <w:pPr>
              <w:ind w:left="35"/>
              <w:rPr>
                <w:sz w:val="16"/>
                <w:szCs w:val="16"/>
                <w:lang w:val="de-CH"/>
              </w:rPr>
            </w:pPr>
            <w:r>
              <w:rPr>
                <w:sz w:val="16"/>
                <w:szCs w:val="16"/>
              </w:rPr>
              <w:t xml:space="preserve">Beurteilung: </w:t>
            </w:r>
            <w:r w:rsidR="008454CE">
              <w:rPr>
                <w:sz w:val="16"/>
                <w:szCs w:val="16"/>
              </w:rPr>
              <w:t xml:space="preserve">Unterstützende </w:t>
            </w:r>
            <w:r w:rsidR="008454CE" w:rsidRPr="002A5EB0">
              <w:rPr>
                <w:sz w:val="16"/>
                <w:szCs w:val="16"/>
              </w:rPr>
              <w:t xml:space="preserve">Lösung. </w:t>
            </w:r>
            <w:r w:rsidR="008454CE">
              <w:rPr>
                <w:sz w:val="16"/>
                <w:szCs w:val="16"/>
              </w:rPr>
              <w:t>Der p</w:t>
            </w:r>
            <w:r w:rsidR="008454CE" w:rsidRPr="002A5EB0">
              <w:rPr>
                <w:sz w:val="16"/>
                <w:szCs w:val="16"/>
              </w:rPr>
              <w:t xml:space="preserve">rimäre Wärmeersatz hin zu einer </w:t>
            </w:r>
            <w:r w:rsidR="008454CE" w:rsidRPr="00B945D1">
              <w:rPr>
                <w:sz w:val="16"/>
                <w:szCs w:val="16"/>
                <w:lang w:val="de-CH"/>
              </w:rPr>
              <w:t>CO</w:t>
            </w:r>
            <w:r w:rsidR="008454CE" w:rsidRPr="00B945D1">
              <w:rPr>
                <w:rFonts w:ascii="Cambria Math" w:hAnsi="Cambria Math" w:cs="Cambria Math"/>
                <w:sz w:val="16"/>
                <w:szCs w:val="16"/>
                <w:lang w:val="de-CH"/>
              </w:rPr>
              <w:t>₂</w:t>
            </w:r>
            <w:r w:rsidR="008454CE" w:rsidRPr="00017851">
              <w:rPr>
                <w:sz w:val="16"/>
                <w:szCs w:val="16"/>
                <w:lang w:val="de-CH"/>
              </w:rPr>
              <w:t xml:space="preserve"> </w:t>
            </w:r>
            <w:r w:rsidR="008454CE" w:rsidRPr="002A5EB0">
              <w:rPr>
                <w:sz w:val="16"/>
                <w:szCs w:val="16"/>
              </w:rPr>
              <w:t>freien Lösung ist damit nicht gelöst.</w:t>
            </w:r>
            <w:r w:rsidR="008454CE">
              <w:rPr>
                <w:sz w:val="16"/>
                <w:szCs w:val="16"/>
              </w:rPr>
              <w:t xml:space="preserve"> Jedoch ist jede eingesparte Wärmeeinheit zu </w:t>
            </w:r>
            <w:proofErr w:type="spellStart"/>
            <w:r w:rsidR="008454CE">
              <w:rPr>
                <w:sz w:val="16"/>
                <w:szCs w:val="16"/>
              </w:rPr>
              <w:t>begrüssen</w:t>
            </w:r>
            <w:proofErr w:type="spellEnd"/>
            <w:r w:rsidR="008454CE">
              <w:rPr>
                <w:sz w:val="16"/>
                <w:szCs w:val="16"/>
              </w:rPr>
              <w:t xml:space="preserve">. </w:t>
            </w:r>
            <w:r w:rsidR="00E651A0">
              <w:rPr>
                <w:sz w:val="16"/>
                <w:szCs w:val="16"/>
              </w:rPr>
              <w:t xml:space="preserve">Die zusätzliche </w:t>
            </w:r>
            <w:r w:rsidR="00B945D1" w:rsidRPr="00B945D1">
              <w:rPr>
                <w:sz w:val="16"/>
                <w:szCs w:val="16"/>
              </w:rPr>
              <w:t xml:space="preserve">Dämmung sollte vor </w:t>
            </w:r>
            <w:r w:rsidR="00E651A0">
              <w:rPr>
                <w:sz w:val="16"/>
                <w:szCs w:val="16"/>
              </w:rPr>
              <w:t xml:space="preserve">dem </w:t>
            </w:r>
            <w:r w:rsidR="00B945D1" w:rsidRPr="00B945D1">
              <w:rPr>
                <w:sz w:val="16"/>
                <w:szCs w:val="16"/>
              </w:rPr>
              <w:t xml:space="preserve">Heizungsersatz erfolgen, da </w:t>
            </w:r>
            <w:r w:rsidR="00E651A0">
              <w:rPr>
                <w:sz w:val="16"/>
                <w:szCs w:val="16"/>
              </w:rPr>
              <w:t xml:space="preserve">die </w:t>
            </w:r>
            <w:r w:rsidR="00B945D1" w:rsidRPr="00B945D1">
              <w:rPr>
                <w:sz w:val="16"/>
                <w:szCs w:val="16"/>
              </w:rPr>
              <w:t>Anschlussleistung reduziert werden kann.</w:t>
            </w:r>
          </w:p>
        </w:tc>
        <w:tc>
          <w:tcPr>
            <w:tcW w:w="2121" w:type="dxa"/>
            <w:vMerge/>
          </w:tcPr>
          <w:p w14:paraId="33F242AB" w14:textId="77777777" w:rsidR="002A5EB0" w:rsidRDefault="002A5EB0" w:rsidP="00DB1663">
            <w:pPr>
              <w:rPr>
                <w:lang w:val="de-CH"/>
              </w:rPr>
            </w:pPr>
          </w:p>
        </w:tc>
      </w:tr>
      <w:tr w:rsidR="002A5EB0" w14:paraId="0A1479CB" w14:textId="77777777" w:rsidTr="00ED0F5E">
        <w:tc>
          <w:tcPr>
            <w:tcW w:w="6941" w:type="dxa"/>
          </w:tcPr>
          <w:p w14:paraId="0C701450" w14:textId="3CDF35D9" w:rsidR="002A5EB0" w:rsidRPr="002A5EB0" w:rsidRDefault="007B3CB2" w:rsidP="00A15AC7">
            <w:pPr>
              <w:ind w:left="720" w:hanging="685"/>
              <w:rPr>
                <w:sz w:val="16"/>
                <w:szCs w:val="16"/>
                <w:lang w:val="de-CH"/>
              </w:rPr>
            </w:pPr>
            <w:r>
              <w:rPr>
                <w:sz w:val="16"/>
                <w:szCs w:val="16"/>
                <w:lang w:val="de-CH"/>
              </w:rPr>
              <w:t>10</w:t>
            </w:r>
            <w:r w:rsidRPr="007B3CB2">
              <w:rPr>
                <w:sz w:val="16"/>
                <w:szCs w:val="16"/>
                <w:lang w:val="de-CH"/>
              </w:rPr>
              <w:t>.</w:t>
            </w:r>
            <w:r w:rsidRPr="007B3CB2">
              <w:rPr>
                <w:sz w:val="16"/>
                <w:szCs w:val="16"/>
                <w:lang w:val="de-CH"/>
              </w:rPr>
              <w:tab/>
            </w:r>
            <w:r w:rsidR="00B945D1" w:rsidRPr="00B945D1">
              <w:rPr>
                <w:sz w:val="16"/>
                <w:szCs w:val="16"/>
                <w:lang w:val="de-CH"/>
              </w:rPr>
              <w:t>Grundlast-Wärmeerzeuger erneuerbar mit bivalent betriebenem fossilem Spitzenlastkessel. Mit erneuerbaren Energien automatisch betriebener Grundlast-Wärmeerzeuger (Holzschnitzel, Pellets, Erdwärme, Grundwasser oder Aussenluft) mit einer Wärmeleistung von mindestens 25%, ergänzt mit fossilem Spitzenlast-Wärmeerzeuger</w:t>
            </w:r>
          </w:p>
        </w:tc>
        <w:tc>
          <w:tcPr>
            <w:tcW w:w="2121" w:type="dxa"/>
            <w:vMerge w:val="restart"/>
          </w:tcPr>
          <w:p w14:paraId="42C7E7CD" w14:textId="168CD344" w:rsidR="002A5EB0" w:rsidRDefault="002A5EB0" w:rsidP="00B945D1">
            <w:pPr>
              <w:jc w:val="right"/>
              <w:rPr>
                <w:lang w:val="de-CH"/>
              </w:rPr>
            </w:pPr>
            <w:r>
              <w:rPr>
                <w:noProof/>
              </w:rPr>
              <w:drawing>
                <wp:inline distT="0" distB="0" distL="0" distR="0" wp14:anchorId="5A29146A" wp14:editId="32E199FA">
                  <wp:extent cx="1322641" cy="879301"/>
                  <wp:effectExtent l="0" t="0" r="0" b="0"/>
                  <wp:docPr id="1886599898"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7081" cy="882253"/>
                          </a:xfrm>
                          <a:prstGeom prst="rect">
                            <a:avLst/>
                          </a:prstGeom>
                          <a:noFill/>
                          <a:ln>
                            <a:noFill/>
                          </a:ln>
                        </pic:spPr>
                      </pic:pic>
                    </a:graphicData>
                  </a:graphic>
                </wp:inline>
              </w:drawing>
            </w:r>
          </w:p>
        </w:tc>
      </w:tr>
      <w:tr w:rsidR="002A5EB0" w14:paraId="0E256CDD" w14:textId="77777777" w:rsidTr="00ED0F5E">
        <w:tc>
          <w:tcPr>
            <w:tcW w:w="6941" w:type="dxa"/>
          </w:tcPr>
          <w:p w14:paraId="4B6A2C50" w14:textId="23BC2EB8" w:rsidR="002A5EB0" w:rsidRPr="002A5EB0" w:rsidRDefault="003853F7" w:rsidP="00666464">
            <w:pPr>
              <w:ind w:left="35"/>
              <w:rPr>
                <w:sz w:val="16"/>
                <w:szCs w:val="16"/>
                <w:lang w:val="de-CH"/>
              </w:rPr>
            </w:pPr>
            <w:r>
              <w:rPr>
                <w:sz w:val="16"/>
                <w:szCs w:val="16"/>
              </w:rPr>
              <w:t xml:space="preserve">Beurteilung: </w:t>
            </w:r>
            <w:r w:rsidR="00B945D1" w:rsidRPr="00B945D1">
              <w:rPr>
                <w:sz w:val="16"/>
                <w:szCs w:val="16"/>
              </w:rPr>
              <w:t>Schwierige Lösung. Es müssen zwei Wärmesystem unterhalten und ersetzt werden. Dies bedarf zu viel Kapital und Bewirtschaftungsaufwand. (Hybridsysteme)</w:t>
            </w:r>
          </w:p>
        </w:tc>
        <w:tc>
          <w:tcPr>
            <w:tcW w:w="2121" w:type="dxa"/>
            <w:vMerge/>
          </w:tcPr>
          <w:p w14:paraId="4332C7BD" w14:textId="77777777" w:rsidR="002A5EB0" w:rsidRDefault="002A5EB0" w:rsidP="00DB1663">
            <w:pPr>
              <w:rPr>
                <w:lang w:val="de-CH"/>
              </w:rPr>
            </w:pPr>
          </w:p>
        </w:tc>
      </w:tr>
      <w:tr w:rsidR="002A5EB0" w14:paraId="3F951C3B" w14:textId="77777777" w:rsidTr="00ED0F5E">
        <w:tc>
          <w:tcPr>
            <w:tcW w:w="6941" w:type="dxa"/>
          </w:tcPr>
          <w:p w14:paraId="30CC21BE" w14:textId="0ABBA535" w:rsidR="002A5EB0" w:rsidRPr="002A5EB0" w:rsidRDefault="007B3CB2" w:rsidP="00A15AC7">
            <w:pPr>
              <w:ind w:left="720" w:hanging="685"/>
              <w:rPr>
                <w:sz w:val="16"/>
                <w:szCs w:val="16"/>
                <w:lang w:val="de-CH"/>
              </w:rPr>
            </w:pPr>
            <w:r>
              <w:rPr>
                <w:sz w:val="16"/>
                <w:szCs w:val="16"/>
                <w:lang w:val="de-CH"/>
              </w:rPr>
              <w:t>11</w:t>
            </w:r>
            <w:r w:rsidRPr="007B3CB2">
              <w:rPr>
                <w:sz w:val="16"/>
                <w:szCs w:val="16"/>
                <w:lang w:val="de-CH"/>
              </w:rPr>
              <w:t>.</w:t>
            </w:r>
            <w:r w:rsidRPr="007B3CB2">
              <w:rPr>
                <w:sz w:val="16"/>
                <w:szCs w:val="16"/>
                <w:lang w:val="de-CH"/>
              </w:rPr>
              <w:tab/>
            </w:r>
            <w:r w:rsidR="00B945D1" w:rsidRPr="00B945D1">
              <w:rPr>
                <w:sz w:val="16"/>
                <w:szCs w:val="16"/>
                <w:lang w:val="de-CH"/>
              </w:rPr>
              <w:t>Kontrollierte Wohnungslüftung. Neuinstallation einer kontrollierten Wohnungslüftung mit Wärmerückgewinnung mit einem Wirkungsgrad von mindestens 70%</w:t>
            </w:r>
          </w:p>
        </w:tc>
        <w:tc>
          <w:tcPr>
            <w:tcW w:w="2121" w:type="dxa"/>
            <w:vMerge w:val="restart"/>
          </w:tcPr>
          <w:p w14:paraId="223753C3" w14:textId="4EF2044A" w:rsidR="002A5EB0" w:rsidRDefault="002A5EB0" w:rsidP="00B945D1">
            <w:pPr>
              <w:jc w:val="right"/>
              <w:rPr>
                <w:lang w:val="de-CH"/>
              </w:rPr>
            </w:pPr>
            <w:r>
              <w:rPr>
                <w:noProof/>
              </w:rPr>
              <w:drawing>
                <wp:inline distT="0" distB="0" distL="0" distR="0" wp14:anchorId="422944B4" wp14:editId="6CFCA20C">
                  <wp:extent cx="620421" cy="930632"/>
                  <wp:effectExtent l="0" t="0" r="8255" b="3175"/>
                  <wp:docPr id="886798641"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8219" cy="942329"/>
                          </a:xfrm>
                          <a:prstGeom prst="rect">
                            <a:avLst/>
                          </a:prstGeom>
                          <a:noFill/>
                          <a:ln>
                            <a:noFill/>
                          </a:ln>
                        </pic:spPr>
                      </pic:pic>
                    </a:graphicData>
                  </a:graphic>
                </wp:inline>
              </w:drawing>
            </w:r>
          </w:p>
        </w:tc>
      </w:tr>
      <w:tr w:rsidR="002A5EB0" w14:paraId="27D4AF14" w14:textId="77777777" w:rsidTr="00ED0F5E">
        <w:tc>
          <w:tcPr>
            <w:tcW w:w="6941" w:type="dxa"/>
          </w:tcPr>
          <w:p w14:paraId="3B6E0BFE" w14:textId="626036C0" w:rsidR="002A5EB0" w:rsidRPr="002A5EB0" w:rsidRDefault="00B945D1" w:rsidP="00666464">
            <w:pPr>
              <w:ind w:left="35"/>
              <w:rPr>
                <w:sz w:val="16"/>
                <w:szCs w:val="16"/>
                <w:lang w:val="de-CH"/>
              </w:rPr>
            </w:pPr>
            <w:r>
              <w:rPr>
                <w:sz w:val="16"/>
                <w:szCs w:val="16"/>
              </w:rPr>
              <w:t xml:space="preserve">Beurteilung: </w:t>
            </w:r>
            <w:r w:rsidRPr="00B945D1">
              <w:rPr>
                <w:sz w:val="16"/>
                <w:szCs w:val="16"/>
              </w:rPr>
              <w:t xml:space="preserve">Sehr teure umzusetzende Lösung. </w:t>
            </w:r>
            <w:r>
              <w:rPr>
                <w:sz w:val="16"/>
                <w:szCs w:val="16"/>
              </w:rPr>
              <w:t>Der p</w:t>
            </w:r>
            <w:r w:rsidRPr="00B945D1">
              <w:rPr>
                <w:sz w:val="16"/>
                <w:szCs w:val="16"/>
              </w:rPr>
              <w:t>rimärer</w:t>
            </w:r>
            <w:r>
              <w:rPr>
                <w:sz w:val="16"/>
                <w:szCs w:val="16"/>
              </w:rPr>
              <w:t>e</w:t>
            </w:r>
            <w:r w:rsidRPr="00B945D1">
              <w:rPr>
                <w:sz w:val="16"/>
                <w:szCs w:val="16"/>
              </w:rPr>
              <w:t xml:space="preserve"> Wärmeersatz hin zu einer </w:t>
            </w:r>
            <w:r w:rsidR="003853F7" w:rsidRPr="00B945D1">
              <w:rPr>
                <w:sz w:val="16"/>
                <w:szCs w:val="16"/>
                <w:lang w:val="de-CH"/>
              </w:rPr>
              <w:t>CO</w:t>
            </w:r>
            <w:r w:rsidR="003853F7" w:rsidRPr="00B945D1">
              <w:rPr>
                <w:rFonts w:ascii="Cambria Math" w:hAnsi="Cambria Math" w:cs="Cambria Math"/>
                <w:sz w:val="16"/>
                <w:szCs w:val="16"/>
                <w:lang w:val="de-CH"/>
              </w:rPr>
              <w:t>₂</w:t>
            </w:r>
            <w:r w:rsidRPr="00B945D1">
              <w:rPr>
                <w:sz w:val="16"/>
                <w:szCs w:val="16"/>
              </w:rPr>
              <w:t xml:space="preserve"> freien Lösung ist damit nicht gelöst.</w:t>
            </w:r>
            <w:r>
              <w:rPr>
                <w:sz w:val="16"/>
                <w:szCs w:val="16"/>
              </w:rPr>
              <w:t xml:space="preserve"> </w:t>
            </w:r>
            <w:r w:rsidRPr="00B945D1">
              <w:rPr>
                <w:sz w:val="16"/>
                <w:szCs w:val="16"/>
              </w:rPr>
              <w:t>Wohnungslüftungen nachträglich</w:t>
            </w:r>
            <w:r>
              <w:rPr>
                <w:sz w:val="16"/>
                <w:szCs w:val="16"/>
              </w:rPr>
              <w:t xml:space="preserve"> in bestehende Objekte</w:t>
            </w:r>
            <w:r w:rsidRPr="00B945D1">
              <w:rPr>
                <w:sz w:val="16"/>
                <w:szCs w:val="16"/>
              </w:rPr>
              <w:t xml:space="preserve"> einzubauen, erscheint unrealistisch und zu teuer. </w:t>
            </w:r>
          </w:p>
        </w:tc>
        <w:tc>
          <w:tcPr>
            <w:tcW w:w="2121" w:type="dxa"/>
            <w:vMerge/>
          </w:tcPr>
          <w:p w14:paraId="07CEE931" w14:textId="77777777" w:rsidR="002A5EB0" w:rsidRDefault="002A5EB0" w:rsidP="00DB1663">
            <w:pPr>
              <w:rPr>
                <w:lang w:val="de-CH"/>
              </w:rPr>
            </w:pPr>
          </w:p>
        </w:tc>
      </w:tr>
    </w:tbl>
    <w:p w14:paraId="0F4B8DD8" w14:textId="77777777" w:rsidR="00017851" w:rsidRDefault="00017851" w:rsidP="00DB1663">
      <w:pPr>
        <w:spacing w:after="0"/>
        <w:rPr>
          <w:lang w:val="de-CH"/>
        </w:rPr>
      </w:pPr>
    </w:p>
    <w:p w14:paraId="2E156562" w14:textId="41104F12" w:rsidR="006D5DDC" w:rsidRPr="006D5DDC" w:rsidRDefault="003853F7" w:rsidP="006D5DDC">
      <w:pPr>
        <w:spacing w:after="0"/>
        <w:rPr>
          <w:rFonts w:cs="Arial"/>
          <w:lang w:val="de-CH"/>
        </w:rPr>
      </w:pPr>
      <w:r>
        <w:rPr>
          <w:lang w:val="de-CH"/>
        </w:rPr>
        <w:t xml:space="preserve">Aus den verschiedenen Beurteilungen geht hervor, dass viele der 11 Standardmassnahmen zwar eine Verbesserung darstellen, aber nur wenige Standardmassnahmen eine umfassende Lösung für einen Heizungsersatz hin zu einer </w:t>
      </w:r>
      <w:r w:rsidRPr="003853F7">
        <w:rPr>
          <w:lang w:val="de-CH"/>
        </w:rPr>
        <w:t>CO</w:t>
      </w:r>
      <w:r w:rsidRPr="003853F7">
        <w:rPr>
          <w:rFonts w:ascii="Cambria Math" w:hAnsi="Cambria Math" w:cs="Cambria Math"/>
          <w:lang w:val="de-CH"/>
        </w:rPr>
        <w:t>₂</w:t>
      </w:r>
      <w:r>
        <w:rPr>
          <w:lang w:val="de-CH"/>
        </w:rPr>
        <w:t xml:space="preserve">-freien Lösung bieten. In dieser Hinsicht erscheinen lediglich die Standardmassnahmen </w:t>
      </w:r>
      <w:r w:rsidR="006D5DDC">
        <w:rPr>
          <w:lang w:val="de-CH"/>
        </w:rPr>
        <w:t>2 (</w:t>
      </w:r>
      <w:r w:rsidR="003A7282">
        <w:rPr>
          <w:lang w:val="de-CH"/>
        </w:rPr>
        <w:t>Holzfeuerung</w:t>
      </w:r>
      <w:r w:rsidR="006D5DDC">
        <w:rPr>
          <w:lang w:val="de-CH"/>
        </w:rPr>
        <w:t>), 3 (</w:t>
      </w:r>
      <w:r w:rsidR="003A7282">
        <w:rPr>
          <w:lang w:val="de-CH"/>
        </w:rPr>
        <w:t>Wärmepumpe für Heizung und Warmwasser</w:t>
      </w:r>
      <w:r w:rsidR="006D5DDC">
        <w:rPr>
          <w:lang w:val="de-CH"/>
        </w:rPr>
        <w:t>) und 5 (</w:t>
      </w:r>
      <w:r w:rsidR="003A7282" w:rsidRPr="003A7282">
        <w:rPr>
          <w:lang w:val="de-CH"/>
        </w:rPr>
        <w:t>Fernwärmeanschluss</w:t>
      </w:r>
      <w:r w:rsidR="006D5DDC">
        <w:rPr>
          <w:lang w:val="de-CH"/>
        </w:rPr>
        <w:t xml:space="preserve">) geeignet weiterzuverfolgen. Die entsprechenden Varianten sind im Abschnitt 3 auf mehreren Themen hin analysiert und bewertet worden. Dabei spielt die Summe des nötigen </w:t>
      </w:r>
      <w:r w:rsidR="006D5DDC" w:rsidRPr="006D5DDC">
        <w:rPr>
          <w:rFonts w:cs="Arial"/>
          <w:lang w:val="de-CH"/>
        </w:rPr>
        <w:t>Kapitals, die CO</w:t>
      </w:r>
      <w:r w:rsidR="006D5DDC" w:rsidRPr="006D5DDC">
        <w:rPr>
          <w:rFonts w:ascii="Cambria Math" w:hAnsi="Cambria Math" w:cs="Cambria Math"/>
          <w:lang w:val="de-CH"/>
        </w:rPr>
        <w:t>₂</w:t>
      </w:r>
      <w:r w:rsidR="006D5DDC" w:rsidRPr="006D5DDC">
        <w:rPr>
          <w:rFonts w:cs="Arial"/>
          <w:lang w:val="de-CH"/>
        </w:rPr>
        <w:t xml:space="preserve">-Emissionen </w:t>
      </w:r>
      <w:r w:rsidR="006D5DDC">
        <w:rPr>
          <w:rFonts w:cs="Arial"/>
          <w:lang w:val="de-CH"/>
        </w:rPr>
        <w:t xml:space="preserve">und die durchschnittlichen Wärmekosten eine Rolle. Damit eine Vergleichbarkeit gewährleitet werden kann wird ein Zeithorizont von 50 Jahren angenommen, da </w:t>
      </w:r>
      <w:r w:rsidR="006D5DDC">
        <w:rPr>
          <w:rFonts w:cs="Arial"/>
          <w:lang w:val="de-CH"/>
        </w:rPr>
        <w:lastRenderedPageBreak/>
        <w:t xml:space="preserve">Fernwärmesysteme eine solche Lebenszeit aufweisen. </w:t>
      </w:r>
      <w:r w:rsidR="006D5DDC" w:rsidRPr="006D5DDC">
        <w:rPr>
          <w:rFonts w:cs="Arial"/>
          <w:lang w:val="de-CH"/>
        </w:rPr>
        <w:t xml:space="preserve">Die Preisannahmen für Wärmepumpen basieren auf aktuellen 20 Richtofferten in einem Leistungsspektrum von 8 - 213 kW. </w:t>
      </w:r>
    </w:p>
    <w:p w14:paraId="05DF3D84" w14:textId="77777777" w:rsidR="006D5DDC" w:rsidRPr="006D5DDC" w:rsidRDefault="006D5DDC" w:rsidP="006D5DDC">
      <w:pPr>
        <w:spacing w:after="0"/>
        <w:rPr>
          <w:rFonts w:cs="Arial"/>
          <w:lang w:val="de-CH"/>
        </w:rPr>
      </w:pPr>
    </w:p>
    <w:p w14:paraId="6151F554" w14:textId="269B0DA2" w:rsidR="00017851" w:rsidRDefault="006D5DDC" w:rsidP="006D5DDC">
      <w:pPr>
        <w:spacing w:after="0"/>
        <w:rPr>
          <w:rFonts w:cs="Arial"/>
          <w:lang w:val="de-CH"/>
        </w:rPr>
      </w:pPr>
      <w:r w:rsidRPr="006D5DDC">
        <w:rPr>
          <w:rFonts w:cs="Arial"/>
          <w:lang w:val="de-CH"/>
        </w:rPr>
        <w:t xml:space="preserve">Die Kapitalkosten basieren auf einem Durchschnittswert für eine Hypothek von 15 Jahren gemäss Vergleichsportal Comparis (https://www.comparis.ch/hypotheken/zinssatz). </w:t>
      </w:r>
      <w:r w:rsidR="00C65812">
        <w:rPr>
          <w:rFonts w:cs="Arial"/>
          <w:lang w:val="de-CH"/>
        </w:rPr>
        <w:t>Stand Herbst 2024 mit</w:t>
      </w:r>
      <w:r w:rsidRPr="006D5DDC">
        <w:rPr>
          <w:rFonts w:cs="Arial"/>
          <w:lang w:val="de-CH"/>
        </w:rPr>
        <w:t xml:space="preserve"> 2.4% als Mittelwert in einer Bandbreite zwischen 2.03% und 2.78%.</w:t>
      </w:r>
    </w:p>
    <w:p w14:paraId="16E36E23" w14:textId="77777777" w:rsidR="006D5DDC" w:rsidRDefault="006D5DDC" w:rsidP="006D5DDC">
      <w:pPr>
        <w:spacing w:after="0"/>
        <w:rPr>
          <w:rFonts w:cs="Arial"/>
          <w:lang w:val="de-CH"/>
        </w:rPr>
      </w:pPr>
    </w:p>
    <w:p w14:paraId="5B1797BF" w14:textId="77777777" w:rsidR="00C10FD7" w:rsidRPr="006D5DDC" w:rsidRDefault="00C10FD7" w:rsidP="006D5DDC">
      <w:pPr>
        <w:spacing w:after="0"/>
        <w:rPr>
          <w:rFonts w:cs="Arial"/>
          <w:lang w:val="de-CH"/>
        </w:rPr>
      </w:pPr>
    </w:p>
    <w:p w14:paraId="561E649F" w14:textId="1BD56D1C" w:rsidR="00DB1663" w:rsidRDefault="00DB1663" w:rsidP="000F51F4">
      <w:pPr>
        <w:pStyle w:val="Listenabsatz"/>
        <w:numPr>
          <w:ilvl w:val="0"/>
          <w:numId w:val="1"/>
        </w:numPr>
        <w:spacing w:after="0"/>
        <w:ind w:hanging="720"/>
        <w:rPr>
          <w:b/>
          <w:bCs/>
          <w:lang w:val="de-CH"/>
        </w:rPr>
      </w:pPr>
      <w:r w:rsidRPr="00C331C5">
        <w:rPr>
          <w:b/>
          <w:bCs/>
          <w:lang w:val="de-CH"/>
        </w:rPr>
        <w:t>Kostenvergleich der besten u</w:t>
      </w:r>
      <w:r w:rsidR="00A1236F" w:rsidRPr="00C331C5">
        <w:rPr>
          <w:b/>
          <w:bCs/>
          <w:lang w:val="de-CH"/>
        </w:rPr>
        <w:t>m</w:t>
      </w:r>
      <w:r w:rsidRPr="00C331C5">
        <w:rPr>
          <w:b/>
          <w:bCs/>
          <w:lang w:val="de-CH"/>
        </w:rPr>
        <w:t>zusetzenden Massnahmen</w:t>
      </w:r>
    </w:p>
    <w:p w14:paraId="57AE14C7" w14:textId="77777777" w:rsidR="00456C7E" w:rsidRPr="00456C7E" w:rsidRDefault="00456C7E" w:rsidP="00456C7E">
      <w:pPr>
        <w:spacing w:after="0"/>
        <w:rPr>
          <w:b/>
          <w:bCs/>
          <w:lang w:val="de-CH"/>
        </w:rPr>
      </w:pPr>
    </w:p>
    <w:p w14:paraId="31AA596C" w14:textId="77777777" w:rsidR="00456C7E" w:rsidRPr="00456C7E" w:rsidRDefault="00456C7E" w:rsidP="00456C7E">
      <w:pPr>
        <w:spacing w:after="0"/>
        <w:rPr>
          <w:lang w:val="de-CH"/>
        </w:rPr>
      </w:pPr>
      <w:r w:rsidRPr="00456C7E">
        <w:rPr>
          <w:lang w:val="de-CH"/>
        </w:rPr>
        <w:t>Was kostet der Anschluss an den Wärmeverbund SEEWN Hergiswil?</w:t>
      </w:r>
    </w:p>
    <w:p w14:paraId="6F355D9F" w14:textId="77777777" w:rsidR="00456C7E" w:rsidRPr="00456C7E" w:rsidRDefault="00456C7E" w:rsidP="00456C7E">
      <w:pPr>
        <w:spacing w:after="0"/>
        <w:rPr>
          <w:lang w:val="de-CH"/>
        </w:rPr>
      </w:pPr>
      <w:r w:rsidRPr="00456C7E">
        <w:rPr>
          <w:lang w:val="de-CH"/>
        </w:rPr>
        <w:t>Die Planung des Bauprojektes wird gegen Ende 2024 fertig sein. Dann können die Preise bekannt gegeben werden. Für eine erste Annahme können die Preise von SEEWN Buochs angewendet werden.</w:t>
      </w:r>
    </w:p>
    <w:p w14:paraId="6D559159" w14:textId="77777777" w:rsidR="00456C7E" w:rsidRPr="00456C7E" w:rsidRDefault="00456C7E" w:rsidP="00456C7E">
      <w:pPr>
        <w:spacing w:after="0"/>
        <w:rPr>
          <w:lang w:val="de-CH"/>
        </w:rPr>
      </w:pPr>
      <w:r w:rsidRPr="00456C7E">
        <w:rPr>
          <w:lang w:val="de-CH"/>
        </w:rPr>
        <w:t>Für den Wärmeersatz von fossilen Heizungen gibt es vom Kanton Nidwalden entsprechende Förderbeiträge. Im Rahmen einer Heizungssanierung wird als Ersatz für eine Heizöl- Erdgas-, oder Elektroheizung der Anschluss an ein Wärmeheiznetz mit CHF 4’800.- plus CHF 360.-/kW unterstützt.</w:t>
      </w:r>
    </w:p>
    <w:p w14:paraId="24BA1E03" w14:textId="77777777" w:rsidR="002C40C5" w:rsidRDefault="002C40C5" w:rsidP="006D5DDC">
      <w:pPr>
        <w:spacing w:after="0"/>
        <w:rPr>
          <w:lang w:val="de-CH"/>
        </w:rPr>
      </w:pPr>
    </w:p>
    <w:p w14:paraId="715F441F" w14:textId="0D8938E5" w:rsidR="00D86628" w:rsidRDefault="00980698" w:rsidP="006D5DDC">
      <w:pPr>
        <w:spacing w:after="0"/>
        <w:rPr>
          <w:noProof/>
        </w:rPr>
      </w:pPr>
      <w:r>
        <w:rPr>
          <w:lang w:val="de-CH"/>
        </w:rPr>
        <w:t xml:space="preserve">Unter </w:t>
      </w:r>
      <w:hyperlink r:id="rId19" w:history="1">
        <w:r w:rsidRPr="000211BA">
          <w:rPr>
            <w:rStyle w:val="Hyperlink"/>
            <w:lang w:val="de-CH"/>
          </w:rPr>
          <w:t>https://www.ewn.ch/waerme/waermeverbund/seewn-buochs/</w:t>
        </w:r>
      </w:hyperlink>
      <w:r>
        <w:rPr>
          <w:lang w:val="de-CH"/>
        </w:rPr>
        <w:t xml:space="preserve"> bzw. </w:t>
      </w:r>
      <w:hyperlink r:id="rId20" w:history="1">
        <w:r w:rsidRPr="000211BA">
          <w:rPr>
            <w:rStyle w:val="Hyperlink"/>
            <w:lang w:val="de-CH"/>
          </w:rPr>
          <w:t>https://www.ewn.ch/waerme/waermeverbund/seewn-hergiswil/</w:t>
        </w:r>
      </w:hyperlink>
      <w:r>
        <w:rPr>
          <w:lang w:val="de-CH"/>
        </w:rPr>
        <w:t xml:space="preserve"> </w:t>
      </w:r>
      <w:r w:rsidR="008D2298">
        <w:rPr>
          <w:lang w:val="de-CH"/>
        </w:rPr>
        <w:t xml:space="preserve">finden sie ein </w:t>
      </w:r>
      <w:r w:rsidR="008D2298" w:rsidRPr="00456C7E">
        <w:rPr>
          <w:lang w:val="de-CH"/>
        </w:rPr>
        <w:t>Vergleichstool für Wärmeersatzlösungen (inklusive Kapitalkosten)</w:t>
      </w:r>
      <w:r w:rsidR="008D2298">
        <w:rPr>
          <w:lang w:val="de-CH"/>
        </w:rPr>
        <w:t xml:space="preserve">. Durch Ausfüllen mit den </w:t>
      </w:r>
      <w:r w:rsidR="00C12076">
        <w:rPr>
          <w:lang w:val="de-CH"/>
        </w:rPr>
        <w:t xml:space="preserve">eigenen spezifischen Werten kann </w:t>
      </w:r>
      <w:r w:rsidR="008D2298">
        <w:rPr>
          <w:lang w:val="de-CH"/>
        </w:rPr>
        <w:t xml:space="preserve">damit das Angebot für ihre Liegenschaft </w:t>
      </w:r>
      <w:r w:rsidR="00C12076">
        <w:rPr>
          <w:lang w:val="de-CH"/>
        </w:rPr>
        <w:t xml:space="preserve">bestimmt werden. </w:t>
      </w:r>
    </w:p>
    <w:p w14:paraId="20CD0105" w14:textId="77777777" w:rsidR="00D86628" w:rsidRPr="006D5DDC" w:rsidRDefault="00D86628" w:rsidP="006D5DDC">
      <w:pPr>
        <w:spacing w:after="0"/>
        <w:rPr>
          <w:lang w:val="de-CH"/>
        </w:rPr>
      </w:pPr>
    </w:p>
    <w:p w14:paraId="02E58B28" w14:textId="2E14C29F" w:rsidR="006D5DDC" w:rsidRDefault="002C40C5" w:rsidP="00DB1663">
      <w:pPr>
        <w:spacing w:after="0"/>
        <w:rPr>
          <w:lang w:val="de-CH"/>
        </w:rPr>
      </w:pPr>
      <w:r>
        <w:rPr>
          <w:noProof/>
        </w:rPr>
        <w:drawing>
          <wp:inline distT="0" distB="0" distL="0" distR="0" wp14:anchorId="3F56A550" wp14:editId="57C24C6E">
            <wp:extent cx="3349193" cy="1526186"/>
            <wp:effectExtent l="0" t="0" r="3810" b="0"/>
            <wp:docPr id="1824340787" name="Grafik 1" descr="Ein Bild, das Text, Screenshot, Schrift,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340787" name="Grafik 1" descr="Ein Bild, das Text, Screenshot, Schrift, Reihe enthält.&#10;&#10;Automatisch generierte Beschreibung"/>
                    <pic:cNvPicPr/>
                  </pic:nvPicPr>
                  <pic:blipFill>
                    <a:blip r:embed="rId21"/>
                    <a:stretch>
                      <a:fillRect/>
                    </a:stretch>
                  </pic:blipFill>
                  <pic:spPr>
                    <a:xfrm>
                      <a:off x="0" y="0"/>
                      <a:ext cx="3355718" cy="1529160"/>
                    </a:xfrm>
                    <a:prstGeom prst="rect">
                      <a:avLst/>
                    </a:prstGeom>
                  </pic:spPr>
                </pic:pic>
              </a:graphicData>
            </a:graphic>
          </wp:inline>
        </w:drawing>
      </w:r>
    </w:p>
    <w:p w14:paraId="2BC09885" w14:textId="77777777" w:rsidR="006D5DDC" w:rsidRDefault="006D5DDC" w:rsidP="00DB1663">
      <w:pPr>
        <w:spacing w:after="0"/>
        <w:rPr>
          <w:lang w:val="de-CH"/>
        </w:rPr>
      </w:pPr>
    </w:p>
    <w:p w14:paraId="458DF68A" w14:textId="02DDB6B1" w:rsidR="006D5DDC" w:rsidRDefault="002C40C5" w:rsidP="00DB1663">
      <w:pPr>
        <w:spacing w:after="0"/>
        <w:rPr>
          <w:lang w:val="de-CH"/>
        </w:rPr>
      </w:pPr>
      <w:r>
        <w:rPr>
          <w:noProof/>
        </w:rPr>
        <w:drawing>
          <wp:inline distT="0" distB="0" distL="0" distR="0" wp14:anchorId="0EB64DBD" wp14:editId="56F7E781">
            <wp:extent cx="5760720" cy="2914650"/>
            <wp:effectExtent l="0" t="0" r="0" b="0"/>
            <wp:docPr id="42534857" name="Grafik 1" descr="Ein Bild, das Text, Screenshot, Diagramm,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34857" name="Grafik 1" descr="Ein Bild, das Text, Screenshot, Diagramm, Reihe enthält.&#10;&#10;Automatisch generierte Beschreibung"/>
                    <pic:cNvPicPr/>
                  </pic:nvPicPr>
                  <pic:blipFill>
                    <a:blip r:embed="rId22"/>
                    <a:stretch>
                      <a:fillRect/>
                    </a:stretch>
                  </pic:blipFill>
                  <pic:spPr>
                    <a:xfrm>
                      <a:off x="0" y="0"/>
                      <a:ext cx="5760720" cy="2914650"/>
                    </a:xfrm>
                    <a:prstGeom prst="rect">
                      <a:avLst/>
                    </a:prstGeom>
                  </pic:spPr>
                </pic:pic>
              </a:graphicData>
            </a:graphic>
          </wp:inline>
        </w:drawing>
      </w:r>
    </w:p>
    <w:p w14:paraId="64A7F6E1" w14:textId="77777777" w:rsidR="002C40C5" w:rsidRDefault="002C40C5" w:rsidP="00DB1663">
      <w:pPr>
        <w:spacing w:after="0"/>
        <w:rPr>
          <w:lang w:val="de-CH"/>
        </w:rPr>
      </w:pPr>
    </w:p>
    <w:p w14:paraId="79287A61" w14:textId="5220D0B9" w:rsidR="002C40C5" w:rsidRDefault="002C40C5" w:rsidP="00DB1663">
      <w:pPr>
        <w:spacing w:after="0"/>
        <w:rPr>
          <w:lang w:val="de-CH"/>
        </w:rPr>
      </w:pPr>
      <w:r>
        <w:rPr>
          <w:noProof/>
        </w:rPr>
        <w:lastRenderedPageBreak/>
        <w:drawing>
          <wp:inline distT="0" distB="0" distL="0" distR="0" wp14:anchorId="4FF439F9" wp14:editId="394E0F07">
            <wp:extent cx="5760720" cy="2520950"/>
            <wp:effectExtent l="0" t="0" r="0" b="0"/>
            <wp:docPr id="1164113848" name="Grafik 1" descr="Ein Bild, das Text, Screenshot, Diagramm,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113848" name="Grafik 1" descr="Ein Bild, das Text, Screenshot, Diagramm, Reihe enthält.&#10;&#10;Automatisch generierte Beschreibung"/>
                    <pic:cNvPicPr/>
                  </pic:nvPicPr>
                  <pic:blipFill>
                    <a:blip r:embed="rId23"/>
                    <a:stretch>
                      <a:fillRect/>
                    </a:stretch>
                  </pic:blipFill>
                  <pic:spPr>
                    <a:xfrm>
                      <a:off x="0" y="0"/>
                      <a:ext cx="5760720" cy="2520950"/>
                    </a:xfrm>
                    <a:prstGeom prst="rect">
                      <a:avLst/>
                    </a:prstGeom>
                  </pic:spPr>
                </pic:pic>
              </a:graphicData>
            </a:graphic>
          </wp:inline>
        </w:drawing>
      </w:r>
    </w:p>
    <w:p w14:paraId="66F12272" w14:textId="77777777" w:rsidR="006D5DDC" w:rsidRDefault="006D5DDC" w:rsidP="00DB1663">
      <w:pPr>
        <w:spacing w:after="0"/>
        <w:rPr>
          <w:lang w:val="de-CH"/>
        </w:rPr>
      </w:pPr>
    </w:p>
    <w:p w14:paraId="1EA18B7E" w14:textId="11751B07" w:rsidR="006D5DDC" w:rsidRDefault="00560774" w:rsidP="00DB1663">
      <w:pPr>
        <w:spacing w:after="0"/>
        <w:rPr>
          <w:lang w:val="de-CH"/>
        </w:rPr>
      </w:pPr>
      <w:r>
        <w:rPr>
          <w:noProof/>
        </w:rPr>
        <w:drawing>
          <wp:inline distT="0" distB="0" distL="0" distR="0" wp14:anchorId="549A9EAE" wp14:editId="53F8401C">
            <wp:extent cx="5760720" cy="2778760"/>
            <wp:effectExtent l="0" t="0" r="0" b="2540"/>
            <wp:docPr id="1766999896" name="Grafik 1" descr="Ein Bild, das Text, Screenshot, Diagramm,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999896" name="Grafik 1" descr="Ein Bild, das Text, Screenshot, Diagramm, Reihe enthält.&#10;&#10;Automatisch generierte Beschreibung"/>
                    <pic:cNvPicPr/>
                  </pic:nvPicPr>
                  <pic:blipFill>
                    <a:blip r:embed="rId24"/>
                    <a:stretch>
                      <a:fillRect/>
                    </a:stretch>
                  </pic:blipFill>
                  <pic:spPr>
                    <a:xfrm>
                      <a:off x="0" y="0"/>
                      <a:ext cx="5760720" cy="2778760"/>
                    </a:xfrm>
                    <a:prstGeom prst="rect">
                      <a:avLst/>
                    </a:prstGeom>
                  </pic:spPr>
                </pic:pic>
              </a:graphicData>
            </a:graphic>
          </wp:inline>
        </w:drawing>
      </w:r>
    </w:p>
    <w:p w14:paraId="4619B878" w14:textId="77777777" w:rsidR="006D5DDC" w:rsidRDefault="006D5DDC" w:rsidP="00DB1663">
      <w:pPr>
        <w:spacing w:after="0"/>
        <w:rPr>
          <w:lang w:val="de-CH"/>
        </w:rPr>
      </w:pPr>
    </w:p>
    <w:p w14:paraId="491BA8FC" w14:textId="77777777" w:rsidR="00B901C5" w:rsidRDefault="00B901C5" w:rsidP="00DB1663">
      <w:pPr>
        <w:spacing w:after="0"/>
        <w:rPr>
          <w:lang w:val="de-CH"/>
        </w:rPr>
      </w:pPr>
    </w:p>
    <w:p w14:paraId="5A1A746C" w14:textId="5CA16F03" w:rsidR="006D5DDC" w:rsidRPr="00560774" w:rsidRDefault="00560774" w:rsidP="000F51F4">
      <w:pPr>
        <w:pStyle w:val="Listenabsatz"/>
        <w:numPr>
          <w:ilvl w:val="0"/>
          <w:numId w:val="1"/>
        </w:numPr>
        <w:spacing w:after="0"/>
        <w:ind w:hanging="720"/>
        <w:rPr>
          <w:b/>
          <w:bCs/>
          <w:lang w:val="de-CH"/>
        </w:rPr>
      </w:pPr>
      <w:r w:rsidRPr="00560774">
        <w:rPr>
          <w:b/>
          <w:bCs/>
          <w:lang w:val="de-CH"/>
        </w:rPr>
        <w:t>Empfohlenes neues Wärmesystem</w:t>
      </w:r>
    </w:p>
    <w:p w14:paraId="19ADDD4C" w14:textId="77777777" w:rsidR="006D5DDC" w:rsidRDefault="006D5DDC" w:rsidP="00DB1663">
      <w:pPr>
        <w:spacing w:after="0"/>
        <w:rPr>
          <w:lang w:val="de-CH"/>
        </w:rPr>
      </w:pPr>
    </w:p>
    <w:p w14:paraId="063F885B" w14:textId="701BAA14" w:rsidR="005B5347" w:rsidRDefault="005B5347" w:rsidP="00DB1663">
      <w:pPr>
        <w:spacing w:after="0"/>
        <w:rPr>
          <w:lang w:val="de-CH"/>
        </w:rPr>
      </w:pPr>
      <w:r>
        <w:rPr>
          <w:lang w:val="de-CH"/>
        </w:rPr>
        <w:t xml:space="preserve">Der Wärmeverbund SEEWN erscheint auf mehreren Gründen die beste Variante für einen Heizungsersatz hin zu einer </w:t>
      </w:r>
      <w:r w:rsidRPr="003853F7">
        <w:rPr>
          <w:lang w:val="de-CH"/>
        </w:rPr>
        <w:t>CO</w:t>
      </w:r>
      <w:r w:rsidRPr="003853F7">
        <w:rPr>
          <w:rFonts w:ascii="Cambria Math" w:hAnsi="Cambria Math" w:cs="Cambria Math"/>
          <w:lang w:val="de-CH"/>
        </w:rPr>
        <w:t>₂</w:t>
      </w:r>
      <w:r>
        <w:rPr>
          <w:lang w:val="de-CH"/>
        </w:rPr>
        <w:t>-freien Lösung:</w:t>
      </w:r>
    </w:p>
    <w:p w14:paraId="554CA346" w14:textId="77777777" w:rsidR="005B5347" w:rsidRDefault="005B5347" w:rsidP="00DB1663">
      <w:pPr>
        <w:spacing w:after="0"/>
        <w:rPr>
          <w:lang w:val="de-CH"/>
        </w:rPr>
      </w:pPr>
    </w:p>
    <w:p w14:paraId="1800F092" w14:textId="20FE78BF" w:rsidR="005B5347" w:rsidRDefault="005B5347" w:rsidP="005B5347">
      <w:pPr>
        <w:pStyle w:val="Listenabsatz"/>
        <w:numPr>
          <w:ilvl w:val="0"/>
          <w:numId w:val="4"/>
        </w:numPr>
        <w:spacing w:after="0"/>
        <w:rPr>
          <w:lang w:val="de-CH"/>
        </w:rPr>
      </w:pPr>
      <w:r>
        <w:rPr>
          <w:lang w:val="de-CH"/>
        </w:rPr>
        <w:t>Ein Anschluss an den Wärmeverbund SEEWN ist technisch umsetzbar.</w:t>
      </w:r>
    </w:p>
    <w:p w14:paraId="5A8979A0" w14:textId="5D6B0CA7" w:rsidR="005B5347" w:rsidRDefault="005B5347" w:rsidP="005B5347">
      <w:pPr>
        <w:pStyle w:val="Listenabsatz"/>
        <w:numPr>
          <w:ilvl w:val="0"/>
          <w:numId w:val="4"/>
        </w:numPr>
        <w:spacing w:after="0"/>
        <w:rPr>
          <w:lang w:val="de-CH"/>
        </w:rPr>
      </w:pPr>
      <w:r>
        <w:rPr>
          <w:lang w:val="de-CH"/>
        </w:rPr>
        <w:t>Die Lösung an den Wärmeverbund SEEWN benötigt am wenigsten Investitionen.</w:t>
      </w:r>
    </w:p>
    <w:p w14:paraId="7DAFE3AC" w14:textId="403088D7" w:rsidR="005B5347" w:rsidRPr="005B5347" w:rsidRDefault="005B5347" w:rsidP="005B5347">
      <w:pPr>
        <w:pStyle w:val="Listenabsatz"/>
        <w:numPr>
          <w:ilvl w:val="0"/>
          <w:numId w:val="4"/>
        </w:numPr>
        <w:spacing w:after="0"/>
        <w:rPr>
          <w:lang w:val="de-CH"/>
        </w:rPr>
      </w:pPr>
      <w:r w:rsidRPr="005B5347">
        <w:t xml:space="preserve">Der Anschluss an ein Seewärmeprojekt </w:t>
      </w:r>
      <w:r>
        <w:t>ist</w:t>
      </w:r>
      <w:r w:rsidRPr="005B5347">
        <w:t xml:space="preserve"> langfristig kostengünstiger. Da die Infrastruktur und Wartung zentralisiert sind, werden die Betriebskosten auf mehrere Nutzer verteilt, was die Kosten für jede einzelne Einheit senkt</w:t>
      </w:r>
      <w:r>
        <w:t>.</w:t>
      </w:r>
    </w:p>
    <w:p w14:paraId="6327AFEE" w14:textId="4007A05B" w:rsidR="005B5347" w:rsidRDefault="005B5347" w:rsidP="00EB5785">
      <w:pPr>
        <w:pStyle w:val="Listenabsatz"/>
        <w:numPr>
          <w:ilvl w:val="0"/>
          <w:numId w:val="4"/>
        </w:numPr>
        <w:spacing w:after="0"/>
        <w:rPr>
          <w:lang w:val="de-CH"/>
        </w:rPr>
      </w:pPr>
      <w:r w:rsidRPr="005B5347">
        <w:rPr>
          <w:lang w:val="de-CH"/>
        </w:rPr>
        <w:t>Geringere Verantwortung für die Verwaltung: Beim Anschluss an ein Seewärmeprojekt entfällt die Notwendigkeit, eine eigene Wärmepumpenlösung zu betreiben, zu warten und zu erneuern. Dadurch wird der Verwaltungsaufwand reduziert.</w:t>
      </w:r>
    </w:p>
    <w:p w14:paraId="29B1D0F6" w14:textId="6E7601D0" w:rsidR="005B5347" w:rsidRPr="005B5347" w:rsidRDefault="005B5347" w:rsidP="00EB5785">
      <w:pPr>
        <w:pStyle w:val="Listenabsatz"/>
        <w:numPr>
          <w:ilvl w:val="0"/>
          <w:numId w:val="4"/>
        </w:numPr>
        <w:spacing w:after="0"/>
        <w:rPr>
          <w:lang w:val="de-CH"/>
        </w:rPr>
      </w:pPr>
      <w:r w:rsidRPr="005B5347">
        <w:t xml:space="preserve">Seewärmeprojekte sind in der Regel </w:t>
      </w:r>
      <w:proofErr w:type="spellStart"/>
      <w:r w:rsidRPr="005B5347">
        <w:t>gro</w:t>
      </w:r>
      <w:r>
        <w:t>ss</w:t>
      </w:r>
      <w:proofErr w:type="spellEnd"/>
      <w:r w:rsidRPr="005B5347">
        <w:t xml:space="preserve"> angelegt</w:t>
      </w:r>
      <w:r>
        <w:t xml:space="preserve">, </w:t>
      </w:r>
      <w:r w:rsidRPr="005B5347">
        <w:t>nutzen modernste Technologien</w:t>
      </w:r>
      <w:r>
        <w:t xml:space="preserve"> und werden professionell betrieben</w:t>
      </w:r>
      <w:r w:rsidRPr="005B5347">
        <w:t>, um die Wärmeversorgung effizient zu gestalten. Dies bietet Vorteile in Bezug auf Leistung, Zuverlässigkeit und Skalierbarkeit.</w:t>
      </w:r>
    </w:p>
    <w:p w14:paraId="2F10BFA9" w14:textId="77777777" w:rsidR="006D5DDC" w:rsidRDefault="006D5DDC" w:rsidP="00DB1663">
      <w:pPr>
        <w:spacing w:after="0"/>
        <w:rPr>
          <w:lang w:val="de-CH"/>
        </w:rPr>
      </w:pPr>
    </w:p>
    <w:p w14:paraId="27E7EB85" w14:textId="77777777" w:rsidR="00B901C5" w:rsidRDefault="00B901C5" w:rsidP="00DB1663">
      <w:pPr>
        <w:spacing w:after="0"/>
        <w:rPr>
          <w:lang w:val="de-CH"/>
        </w:rPr>
      </w:pPr>
    </w:p>
    <w:p w14:paraId="345F10EE" w14:textId="77777777" w:rsidR="00B901C5" w:rsidRDefault="00B901C5" w:rsidP="00DB1663">
      <w:pPr>
        <w:spacing w:after="0"/>
        <w:rPr>
          <w:lang w:val="de-CH"/>
        </w:rPr>
      </w:pPr>
    </w:p>
    <w:p w14:paraId="6CF79D50" w14:textId="77777777" w:rsidR="00B901C5" w:rsidRDefault="00B901C5" w:rsidP="00DB1663">
      <w:pPr>
        <w:spacing w:after="0"/>
        <w:rPr>
          <w:lang w:val="de-CH"/>
        </w:rPr>
      </w:pPr>
    </w:p>
    <w:p w14:paraId="295CACD5" w14:textId="77777777" w:rsidR="00B901C5" w:rsidRDefault="00B901C5" w:rsidP="00DB1663">
      <w:pPr>
        <w:spacing w:after="0"/>
        <w:rPr>
          <w:lang w:val="de-CH"/>
        </w:rPr>
      </w:pPr>
    </w:p>
    <w:p w14:paraId="3E7B346F" w14:textId="77777777" w:rsidR="00C10FD7" w:rsidRDefault="00C10FD7" w:rsidP="00DB1663">
      <w:pPr>
        <w:spacing w:after="0"/>
        <w:rPr>
          <w:lang w:val="de-CH"/>
        </w:rPr>
      </w:pPr>
    </w:p>
    <w:p w14:paraId="03EBA7BB" w14:textId="2FC7E203" w:rsidR="00DB1663" w:rsidRPr="00C331C5" w:rsidRDefault="00A1236F" w:rsidP="000F51F4">
      <w:pPr>
        <w:pStyle w:val="Listenabsatz"/>
        <w:numPr>
          <w:ilvl w:val="0"/>
          <w:numId w:val="1"/>
        </w:numPr>
        <w:spacing w:after="0"/>
        <w:ind w:hanging="720"/>
        <w:rPr>
          <w:b/>
          <w:bCs/>
          <w:lang w:val="de-CH"/>
        </w:rPr>
      </w:pPr>
      <w:r w:rsidRPr="00C331C5">
        <w:rPr>
          <w:b/>
          <w:bCs/>
          <w:lang w:val="de-CH"/>
        </w:rPr>
        <w:lastRenderedPageBreak/>
        <w:t>Anschluss an das Projekt SEEWN Hergiswil oder SEEWN Buochs</w:t>
      </w:r>
    </w:p>
    <w:p w14:paraId="729C5A25" w14:textId="77777777" w:rsidR="00C331C5" w:rsidRDefault="00C331C5" w:rsidP="00C331C5">
      <w:pPr>
        <w:spacing w:after="0"/>
        <w:rPr>
          <w:lang w:val="de-CH"/>
        </w:rPr>
      </w:pPr>
    </w:p>
    <w:p w14:paraId="4BA47E1A" w14:textId="55152FFA" w:rsidR="00C331C5" w:rsidRDefault="005B5347" w:rsidP="00C331C5">
      <w:pPr>
        <w:spacing w:after="0"/>
        <w:rPr>
          <w:lang w:val="de-CH"/>
        </w:rPr>
      </w:pPr>
      <w:r>
        <w:rPr>
          <w:lang w:val="de-CH"/>
        </w:rPr>
        <w:t xml:space="preserve">Die Details zum Anschluss an das </w:t>
      </w:r>
      <w:r w:rsidRPr="005B5347">
        <w:rPr>
          <w:lang w:val="de-CH"/>
        </w:rPr>
        <w:t>Projekt SEEWN Hergiswil oder SEEWN Buochs</w:t>
      </w:r>
      <w:r>
        <w:rPr>
          <w:lang w:val="de-CH"/>
        </w:rPr>
        <w:t xml:space="preserve"> sind in der Offerte, dem Anschlussvertrag und dem Wärmeliefervertrag von EWN geregelt. Zusammenfassend bedeutet dies: </w:t>
      </w:r>
      <w:r w:rsidR="0018026D">
        <w:rPr>
          <w:lang w:val="de-CH"/>
        </w:rPr>
        <w:t>(Preise ohne Indexierung und ohne MwSt.)</w:t>
      </w:r>
    </w:p>
    <w:p w14:paraId="059F407F" w14:textId="77777777" w:rsidR="005B5347" w:rsidRDefault="005B5347" w:rsidP="00C331C5">
      <w:pPr>
        <w:spacing w:after="0"/>
        <w:rPr>
          <w:lang w:val="de-CH"/>
        </w:rPr>
      </w:pPr>
    </w:p>
    <w:tbl>
      <w:tblPr>
        <w:tblStyle w:val="Tabellenraster"/>
        <w:tblW w:w="0" w:type="auto"/>
        <w:tblLook w:val="04A0" w:firstRow="1" w:lastRow="0" w:firstColumn="1" w:lastColumn="0" w:noHBand="0" w:noVBand="1"/>
      </w:tblPr>
      <w:tblGrid>
        <w:gridCol w:w="4106"/>
        <w:gridCol w:w="1418"/>
        <w:gridCol w:w="3538"/>
      </w:tblGrid>
      <w:tr w:rsidR="005B5347" w14:paraId="4BD72A2C" w14:textId="77777777" w:rsidTr="00980698">
        <w:tc>
          <w:tcPr>
            <w:tcW w:w="4106" w:type="dxa"/>
          </w:tcPr>
          <w:p w14:paraId="07A4D6FF" w14:textId="1B0423C5" w:rsidR="005B5347" w:rsidRDefault="005B5347" w:rsidP="00C331C5">
            <w:pPr>
              <w:rPr>
                <w:lang w:val="de-CH"/>
              </w:rPr>
            </w:pPr>
            <w:r>
              <w:rPr>
                <w:lang w:val="de-CH"/>
              </w:rPr>
              <w:t>Anschlusskostenbeitrag ans Fernwärmenetz</w:t>
            </w:r>
            <w:r w:rsidR="00980698">
              <w:rPr>
                <w:lang w:val="de-CH"/>
              </w:rPr>
              <w:t xml:space="preserve"> bei Anschlussleitungslänge &lt; 15 Meter </w:t>
            </w:r>
          </w:p>
        </w:tc>
        <w:tc>
          <w:tcPr>
            <w:tcW w:w="1418" w:type="dxa"/>
          </w:tcPr>
          <w:p w14:paraId="59D8A710" w14:textId="78AE19B7" w:rsidR="005B5347" w:rsidRPr="00344270" w:rsidRDefault="005B5347" w:rsidP="00C331C5">
            <w:pPr>
              <w:rPr>
                <w:highlight w:val="yellow"/>
                <w:lang w:val="de-CH"/>
              </w:rPr>
            </w:pPr>
            <w:r w:rsidRPr="00344270">
              <w:rPr>
                <w:highlight w:val="yellow"/>
                <w:lang w:val="de-CH"/>
              </w:rPr>
              <w:t xml:space="preserve">CHF </w:t>
            </w:r>
            <w:r w:rsidR="0018026D" w:rsidRPr="00344270">
              <w:rPr>
                <w:highlight w:val="yellow"/>
                <w:lang w:val="de-CH"/>
              </w:rPr>
              <w:t xml:space="preserve">33'000 </w:t>
            </w:r>
          </w:p>
        </w:tc>
        <w:tc>
          <w:tcPr>
            <w:tcW w:w="3538" w:type="dxa"/>
          </w:tcPr>
          <w:p w14:paraId="678DF404" w14:textId="00E61017" w:rsidR="005B5347" w:rsidRDefault="0018026D" w:rsidP="00C331C5">
            <w:pPr>
              <w:rPr>
                <w:lang w:val="de-CH"/>
              </w:rPr>
            </w:pPr>
            <w:r>
              <w:rPr>
                <w:lang w:val="de-CH"/>
              </w:rPr>
              <w:t>Zu bezahlen bei Fertigstellung der Anschlussleitungen</w:t>
            </w:r>
          </w:p>
        </w:tc>
      </w:tr>
      <w:tr w:rsidR="005B5347" w14:paraId="328180EB" w14:textId="77777777" w:rsidTr="00980698">
        <w:tc>
          <w:tcPr>
            <w:tcW w:w="4106" w:type="dxa"/>
          </w:tcPr>
          <w:p w14:paraId="1879C955" w14:textId="766FB202" w:rsidR="005B5347" w:rsidRDefault="0018026D" w:rsidP="00C331C5">
            <w:pPr>
              <w:rPr>
                <w:lang w:val="de-CH"/>
              </w:rPr>
            </w:pPr>
            <w:r>
              <w:rPr>
                <w:lang w:val="de-CH"/>
              </w:rPr>
              <w:t>Umbaukosten Heizungsraum auf neues Wärmesystem</w:t>
            </w:r>
          </w:p>
        </w:tc>
        <w:tc>
          <w:tcPr>
            <w:tcW w:w="1418" w:type="dxa"/>
          </w:tcPr>
          <w:p w14:paraId="132D7236" w14:textId="6E54AD02" w:rsidR="005B5347" w:rsidRPr="00344270" w:rsidRDefault="0018026D" w:rsidP="00C331C5">
            <w:pPr>
              <w:rPr>
                <w:highlight w:val="yellow"/>
                <w:lang w:val="de-CH"/>
              </w:rPr>
            </w:pPr>
            <w:r w:rsidRPr="00344270">
              <w:rPr>
                <w:highlight w:val="yellow"/>
                <w:lang w:val="de-CH"/>
              </w:rPr>
              <w:t xml:space="preserve">CHF 15'000 </w:t>
            </w:r>
          </w:p>
        </w:tc>
        <w:tc>
          <w:tcPr>
            <w:tcW w:w="3538" w:type="dxa"/>
          </w:tcPr>
          <w:p w14:paraId="51833B29" w14:textId="10B375C7" w:rsidR="005B5347" w:rsidRDefault="0018026D" w:rsidP="00C331C5">
            <w:pPr>
              <w:rPr>
                <w:lang w:val="de-CH"/>
              </w:rPr>
            </w:pPr>
            <w:r>
              <w:rPr>
                <w:lang w:val="de-CH"/>
              </w:rPr>
              <w:t>Zu bezahlen bei Umstellung auf neues System</w:t>
            </w:r>
          </w:p>
        </w:tc>
      </w:tr>
      <w:tr w:rsidR="0018026D" w14:paraId="3E742CA7" w14:textId="77777777" w:rsidTr="00980698">
        <w:tc>
          <w:tcPr>
            <w:tcW w:w="4106" w:type="dxa"/>
          </w:tcPr>
          <w:p w14:paraId="22A3AE06" w14:textId="2F63A743" w:rsidR="0018026D" w:rsidRDefault="0018026D" w:rsidP="00C331C5">
            <w:pPr>
              <w:rPr>
                <w:lang w:val="de-CH"/>
              </w:rPr>
            </w:pPr>
            <w:r>
              <w:rPr>
                <w:lang w:val="de-CH"/>
              </w:rPr>
              <w:t>Förderbeitrag Kanton Nidwalden</w:t>
            </w:r>
          </w:p>
        </w:tc>
        <w:tc>
          <w:tcPr>
            <w:tcW w:w="1418" w:type="dxa"/>
          </w:tcPr>
          <w:p w14:paraId="7C57D07A" w14:textId="4EFC21AD" w:rsidR="0018026D" w:rsidRPr="002F4DFE" w:rsidRDefault="0018026D" w:rsidP="002F4DFE">
            <w:pPr>
              <w:rPr>
                <w:highlight w:val="yellow"/>
                <w:lang w:val="de-CH"/>
              </w:rPr>
            </w:pPr>
            <w:r w:rsidRPr="002F4DFE">
              <w:rPr>
                <w:highlight w:val="yellow"/>
                <w:lang w:val="de-CH"/>
              </w:rPr>
              <w:t xml:space="preserve">CHF </w:t>
            </w:r>
            <w:r w:rsidR="002F4DFE">
              <w:rPr>
                <w:highlight w:val="yellow"/>
                <w:lang w:val="de-CH"/>
              </w:rPr>
              <w:t xml:space="preserve">- </w:t>
            </w:r>
            <w:r w:rsidRPr="002F4DFE">
              <w:rPr>
                <w:highlight w:val="yellow"/>
                <w:lang w:val="de-CH"/>
              </w:rPr>
              <w:t>15’600</w:t>
            </w:r>
          </w:p>
        </w:tc>
        <w:tc>
          <w:tcPr>
            <w:tcW w:w="3538" w:type="dxa"/>
          </w:tcPr>
          <w:p w14:paraId="4FE5D048" w14:textId="7908E853" w:rsidR="0018026D" w:rsidRDefault="0018026D" w:rsidP="00C331C5">
            <w:pPr>
              <w:rPr>
                <w:lang w:val="de-CH"/>
              </w:rPr>
            </w:pPr>
            <w:r>
              <w:rPr>
                <w:lang w:val="de-CH"/>
              </w:rPr>
              <w:t>Wird nach Umstellung auf neues System ausbezahlt</w:t>
            </w:r>
          </w:p>
        </w:tc>
      </w:tr>
      <w:tr w:rsidR="0018026D" w14:paraId="23A4A25F" w14:textId="77777777" w:rsidTr="00980698">
        <w:tc>
          <w:tcPr>
            <w:tcW w:w="4106" w:type="dxa"/>
          </w:tcPr>
          <w:p w14:paraId="3CFA91EF" w14:textId="318ED9C6" w:rsidR="0018026D" w:rsidRDefault="0018026D" w:rsidP="00C331C5">
            <w:pPr>
              <w:rPr>
                <w:lang w:val="de-CH"/>
              </w:rPr>
            </w:pPr>
            <w:r>
              <w:rPr>
                <w:lang w:val="de-CH"/>
              </w:rPr>
              <w:t>Jährliche Grundgebühren im Betrieb</w:t>
            </w:r>
          </w:p>
        </w:tc>
        <w:tc>
          <w:tcPr>
            <w:tcW w:w="1418" w:type="dxa"/>
          </w:tcPr>
          <w:p w14:paraId="73BD4D78" w14:textId="32E07730" w:rsidR="0018026D" w:rsidRPr="00344270" w:rsidRDefault="0018026D" w:rsidP="00C331C5">
            <w:pPr>
              <w:rPr>
                <w:highlight w:val="yellow"/>
                <w:lang w:val="de-CH"/>
              </w:rPr>
            </w:pPr>
            <w:r w:rsidRPr="00344270">
              <w:rPr>
                <w:highlight w:val="yellow"/>
                <w:lang w:val="de-CH"/>
              </w:rPr>
              <w:t>CHF 6’600</w:t>
            </w:r>
          </w:p>
        </w:tc>
        <w:tc>
          <w:tcPr>
            <w:tcW w:w="3538" w:type="dxa"/>
          </w:tcPr>
          <w:p w14:paraId="4051F805" w14:textId="1D1D1043" w:rsidR="0018026D" w:rsidRDefault="0018026D" w:rsidP="00C331C5">
            <w:pPr>
              <w:rPr>
                <w:lang w:val="de-CH"/>
              </w:rPr>
            </w:pPr>
            <w:r>
              <w:rPr>
                <w:lang w:val="de-CH"/>
              </w:rPr>
              <w:t>Jährlicher Betrag für die «Miete» der Fernleitungen, Energiezentrale, …</w:t>
            </w:r>
          </w:p>
        </w:tc>
      </w:tr>
      <w:tr w:rsidR="0018026D" w14:paraId="759BBD93" w14:textId="77777777" w:rsidTr="00980698">
        <w:tc>
          <w:tcPr>
            <w:tcW w:w="4106" w:type="dxa"/>
          </w:tcPr>
          <w:p w14:paraId="75062B4D" w14:textId="4D359ABB" w:rsidR="0018026D" w:rsidRDefault="0018026D" w:rsidP="00C331C5">
            <w:pPr>
              <w:rPr>
                <w:lang w:val="de-CH"/>
              </w:rPr>
            </w:pPr>
            <w:r>
              <w:rPr>
                <w:lang w:val="de-CH"/>
              </w:rPr>
              <w:t>Jährliche variable Kosten für den Energiebezug</w:t>
            </w:r>
          </w:p>
        </w:tc>
        <w:tc>
          <w:tcPr>
            <w:tcW w:w="1418" w:type="dxa"/>
          </w:tcPr>
          <w:p w14:paraId="08B826C8" w14:textId="2193AE4F" w:rsidR="0018026D" w:rsidRPr="00344270" w:rsidRDefault="0018026D" w:rsidP="00C331C5">
            <w:pPr>
              <w:rPr>
                <w:highlight w:val="yellow"/>
                <w:lang w:val="de-CH"/>
              </w:rPr>
            </w:pPr>
            <w:r w:rsidRPr="00344270">
              <w:rPr>
                <w:highlight w:val="yellow"/>
                <w:lang w:val="de-CH"/>
              </w:rPr>
              <w:t>CHF 6’300</w:t>
            </w:r>
          </w:p>
        </w:tc>
        <w:tc>
          <w:tcPr>
            <w:tcW w:w="3538" w:type="dxa"/>
          </w:tcPr>
          <w:p w14:paraId="1BB4793C" w14:textId="41AD5994" w:rsidR="0018026D" w:rsidRDefault="0018026D" w:rsidP="00C331C5">
            <w:pPr>
              <w:rPr>
                <w:lang w:val="de-CH"/>
              </w:rPr>
            </w:pPr>
            <w:r>
              <w:rPr>
                <w:lang w:val="de-CH"/>
              </w:rPr>
              <w:t>Jährlicher variabler Betrag gemäss Energiebezug in kWh</w:t>
            </w:r>
          </w:p>
        </w:tc>
      </w:tr>
    </w:tbl>
    <w:p w14:paraId="66C7F270" w14:textId="5DF382B1" w:rsidR="005B5347" w:rsidRDefault="005B5347" w:rsidP="00C331C5">
      <w:pPr>
        <w:spacing w:after="0"/>
        <w:rPr>
          <w:lang w:val="de-CH"/>
        </w:rPr>
      </w:pPr>
    </w:p>
    <w:p w14:paraId="4EE5A424" w14:textId="464F5619" w:rsidR="002A294C" w:rsidRDefault="002A294C" w:rsidP="00C331C5">
      <w:pPr>
        <w:spacing w:after="0"/>
        <w:rPr>
          <w:lang w:val="de-CH"/>
        </w:rPr>
      </w:pPr>
      <w:r>
        <w:rPr>
          <w:lang w:val="de-CH"/>
        </w:rPr>
        <w:t xml:space="preserve">Die Aufteilung auf die einzelnen Wohnungen erfolgt gemäss dem bestehenden Verteilschlüssel. </w:t>
      </w:r>
    </w:p>
    <w:p w14:paraId="7F0FEB69" w14:textId="77777777" w:rsidR="002A294C" w:rsidRDefault="002A294C" w:rsidP="00C331C5">
      <w:pPr>
        <w:spacing w:after="0"/>
        <w:rPr>
          <w:lang w:val="de-CH"/>
        </w:rPr>
      </w:pPr>
    </w:p>
    <w:p w14:paraId="449728FA" w14:textId="5AD6D756" w:rsidR="00C331C5" w:rsidRDefault="002F4DFE" w:rsidP="00C331C5">
      <w:pPr>
        <w:spacing w:after="0"/>
        <w:rPr>
          <w:lang w:val="de-CH"/>
        </w:rPr>
      </w:pPr>
      <w:r>
        <w:rPr>
          <w:lang w:val="de-CH"/>
        </w:rPr>
        <w:t xml:space="preserve">Die Projekte SEEWN Buochs und Hergiswil können ab 2027 Wärme liefern. Der Umstellungstermin bzw. Anschlusstermin kann in den Verträgen individuell gewählt werden. </w:t>
      </w:r>
    </w:p>
    <w:p w14:paraId="3CA6A982" w14:textId="77777777" w:rsidR="00C331C5" w:rsidRPr="00C331C5" w:rsidRDefault="00C331C5" w:rsidP="00C331C5">
      <w:pPr>
        <w:spacing w:after="0"/>
        <w:rPr>
          <w:lang w:val="de-CH"/>
        </w:rPr>
      </w:pPr>
    </w:p>
    <w:sectPr w:rsidR="00C331C5" w:rsidRPr="00C331C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1023EE"/>
    <w:multiLevelType w:val="hybridMultilevel"/>
    <w:tmpl w:val="14F67FCC"/>
    <w:lvl w:ilvl="0" w:tplc="25E2D474">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60F60C75"/>
    <w:multiLevelType w:val="hybridMultilevel"/>
    <w:tmpl w:val="B9EE736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61D449D8"/>
    <w:multiLevelType w:val="hybridMultilevel"/>
    <w:tmpl w:val="6BDAFAF6"/>
    <w:lvl w:ilvl="0" w:tplc="49FE1314">
      <w:start w:val="3"/>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8584547"/>
    <w:multiLevelType w:val="hybridMultilevel"/>
    <w:tmpl w:val="069033D8"/>
    <w:lvl w:ilvl="0" w:tplc="2B48CE48">
      <w:start w:val="1"/>
      <w:numFmt w:val="decimal"/>
      <w:lvlText w:val="%1."/>
      <w:lvlJc w:val="left"/>
      <w:pPr>
        <w:ind w:left="720" w:hanging="360"/>
      </w:pPr>
      <w:rPr>
        <w:rFonts w:hint="default"/>
        <w:sz w:val="16"/>
        <w:szCs w:val="1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952134278">
    <w:abstractNumId w:val="1"/>
  </w:num>
  <w:num w:numId="2" w16cid:durableId="446973885">
    <w:abstractNumId w:val="3"/>
  </w:num>
  <w:num w:numId="3" w16cid:durableId="1935284302">
    <w:abstractNumId w:val="2"/>
  </w:num>
  <w:num w:numId="4" w16cid:durableId="1431312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4D"/>
    <w:rsid w:val="00017851"/>
    <w:rsid w:val="000F51F4"/>
    <w:rsid w:val="001024E3"/>
    <w:rsid w:val="0018026D"/>
    <w:rsid w:val="002137F3"/>
    <w:rsid w:val="002A294C"/>
    <w:rsid w:val="002A5EB0"/>
    <w:rsid w:val="002C40C5"/>
    <w:rsid w:val="002F4DFE"/>
    <w:rsid w:val="00344270"/>
    <w:rsid w:val="003853F7"/>
    <w:rsid w:val="003A7282"/>
    <w:rsid w:val="003C0632"/>
    <w:rsid w:val="003E7A76"/>
    <w:rsid w:val="00456C7E"/>
    <w:rsid w:val="004F1F09"/>
    <w:rsid w:val="00560774"/>
    <w:rsid w:val="00590683"/>
    <w:rsid w:val="005B5347"/>
    <w:rsid w:val="00666464"/>
    <w:rsid w:val="006D5DDC"/>
    <w:rsid w:val="00737691"/>
    <w:rsid w:val="007B3CB2"/>
    <w:rsid w:val="008454CE"/>
    <w:rsid w:val="008D2298"/>
    <w:rsid w:val="00980698"/>
    <w:rsid w:val="00A1236F"/>
    <w:rsid w:val="00A15AC7"/>
    <w:rsid w:val="00AB714D"/>
    <w:rsid w:val="00B901C5"/>
    <w:rsid w:val="00B945D1"/>
    <w:rsid w:val="00C10FD7"/>
    <w:rsid w:val="00C12076"/>
    <w:rsid w:val="00C331C5"/>
    <w:rsid w:val="00C65812"/>
    <w:rsid w:val="00D86628"/>
    <w:rsid w:val="00DB1663"/>
    <w:rsid w:val="00DF7B46"/>
    <w:rsid w:val="00E651A0"/>
    <w:rsid w:val="00ED0F5E"/>
    <w:rsid w:val="00ED5E6C"/>
    <w:rsid w:val="00EE71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0654E"/>
  <w15:chartTrackingRefBased/>
  <w15:docId w15:val="{D1CA44F9-E9D1-42CE-B3E0-7F1E21F6E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de-DE"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B71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AB71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AB714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AB714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B714D"/>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B714D"/>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B714D"/>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AB714D"/>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B714D"/>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714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AB714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AB714D"/>
    <w:rPr>
      <w:rFonts w:asciiTheme="minorHAnsi" w:eastAsiaTheme="majorEastAsia" w:hAnsiTheme="minorHAnsi"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AB714D"/>
    <w:rPr>
      <w:rFonts w:asciiTheme="minorHAnsi" w:eastAsiaTheme="majorEastAsia" w:hAnsiTheme="min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B714D"/>
    <w:rPr>
      <w:rFonts w:asciiTheme="minorHAnsi" w:eastAsiaTheme="majorEastAsia" w:hAnsiTheme="min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B714D"/>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714D"/>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AB714D"/>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714D"/>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AB714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714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714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B714D"/>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AB714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B714D"/>
    <w:rPr>
      <w:i/>
      <w:iCs/>
      <w:color w:val="404040" w:themeColor="text1" w:themeTint="BF"/>
    </w:rPr>
  </w:style>
  <w:style w:type="paragraph" w:styleId="Listenabsatz">
    <w:name w:val="List Paragraph"/>
    <w:basedOn w:val="Standard"/>
    <w:uiPriority w:val="34"/>
    <w:qFormat/>
    <w:rsid w:val="00AB714D"/>
    <w:pPr>
      <w:ind w:left="720"/>
      <w:contextualSpacing/>
    </w:pPr>
  </w:style>
  <w:style w:type="character" w:styleId="IntensiveHervorhebung">
    <w:name w:val="Intense Emphasis"/>
    <w:basedOn w:val="Absatz-Standardschriftart"/>
    <w:uiPriority w:val="21"/>
    <w:qFormat/>
    <w:rsid w:val="00AB714D"/>
    <w:rPr>
      <w:i/>
      <w:iCs/>
      <w:color w:val="2F5496" w:themeColor="accent1" w:themeShade="BF"/>
    </w:rPr>
  </w:style>
  <w:style w:type="paragraph" w:styleId="IntensivesZitat">
    <w:name w:val="Intense Quote"/>
    <w:basedOn w:val="Standard"/>
    <w:next w:val="Standard"/>
    <w:link w:val="IntensivesZitatZchn"/>
    <w:uiPriority w:val="30"/>
    <w:qFormat/>
    <w:rsid w:val="00AB71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AB714D"/>
    <w:rPr>
      <w:i/>
      <w:iCs/>
      <w:color w:val="2F5496" w:themeColor="accent1" w:themeShade="BF"/>
    </w:rPr>
  </w:style>
  <w:style w:type="character" w:styleId="IntensiverVerweis">
    <w:name w:val="Intense Reference"/>
    <w:basedOn w:val="Absatz-Standardschriftart"/>
    <w:uiPriority w:val="32"/>
    <w:qFormat/>
    <w:rsid w:val="00AB714D"/>
    <w:rPr>
      <w:b/>
      <w:bCs/>
      <w:smallCaps/>
      <w:color w:val="2F5496" w:themeColor="accent1" w:themeShade="BF"/>
      <w:spacing w:val="5"/>
    </w:rPr>
  </w:style>
  <w:style w:type="table" w:styleId="Tabellenraster">
    <w:name w:val="Table Grid"/>
    <w:basedOn w:val="NormaleTabelle"/>
    <w:uiPriority w:val="39"/>
    <w:rsid w:val="00AB71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80698"/>
    <w:rPr>
      <w:color w:val="0563C1" w:themeColor="hyperlink"/>
      <w:u w:val="single"/>
    </w:rPr>
  </w:style>
  <w:style w:type="character" w:styleId="NichtaufgelsteErwhnung">
    <w:name w:val="Unresolved Mention"/>
    <w:basedOn w:val="Absatz-Standardschriftart"/>
    <w:uiPriority w:val="99"/>
    <w:semiHidden/>
    <w:unhideWhenUsed/>
    <w:rsid w:val="00980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537987">
      <w:bodyDiv w:val="1"/>
      <w:marLeft w:val="0"/>
      <w:marRight w:val="0"/>
      <w:marTop w:val="0"/>
      <w:marBottom w:val="0"/>
      <w:divBdr>
        <w:top w:val="none" w:sz="0" w:space="0" w:color="auto"/>
        <w:left w:val="none" w:sz="0" w:space="0" w:color="auto"/>
        <w:bottom w:val="none" w:sz="0" w:space="0" w:color="auto"/>
        <w:right w:val="none" w:sz="0" w:space="0" w:color="auto"/>
      </w:divBdr>
    </w:div>
    <w:div w:id="116415487">
      <w:bodyDiv w:val="1"/>
      <w:marLeft w:val="0"/>
      <w:marRight w:val="0"/>
      <w:marTop w:val="0"/>
      <w:marBottom w:val="0"/>
      <w:divBdr>
        <w:top w:val="none" w:sz="0" w:space="0" w:color="auto"/>
        <w:left w:val="none" w:sz="0" w:space="0" w:color="auto"/>
        <w:bottom w:val="none" w:sz="0" w:space="0" w:color="auto"/>
        <w:right w:val="none" w:sz="0" w:space="0" w:color="auto"/>
      </w:divBdr>
    </w:div>
    <w:div w:id="151994010">
      <w:bodyDiv w:val="1"/>
      <w:marLeft w:val="0"/>
      <w:marRight w:val="0"/>
      <w:marTop w:val="0"/>
      <w:marBottom w:val="0"/>
      <w:divBdr>
        <w:top w:val="none" w:sz="0" w:space="0" w:color="auto"/>
        <w:left w:val="none" w:sz="0" w:space="0" w:color="auto"/>
        <w:bottom w:val="none" w:sz="0" w:space="0" w:color="auto"/>
        <w:right w:val="none" w:sz="0" w:space="0" w:color="auto"/>
      </w:divBdr>
    </w:div>
    <w:div w:id="164899560">
      <w:bodyDiv w:val="1"/>
      <w:marLeft w:val="0"/>
      <w:marRight w:val="0"/>
      <w:marTop w:val="0"/>
      <w:marBottom w:val="0"/>
      <w:divBdr>
        <w:top w:val="none" w:sz="0" w:space="0" w:color="auto"/>
        <w:left w:val="none" w:sz="0" w:space="0" w:color="auto"/>
        <w:bottom w:val="none" w:sz="0" w:space="0" w:color="auto"/>
        <w:right w:val="none" w:sz="0" w:space="0" w:color="auto"/>
      </w:divBdr>
    </w:div>
    <w:div w:id="275723744">
      <w:bodyDiv w:val="1"/>
      <w:marLeft w:val="0"/>
      <w:marRight w:val="0"/>
      <w:marTop w:val="0"/>
      <w:marBottom w:val="0"/>
      <w:divBdr>
        <w:top w:val="none" w:sz="0" w:space="0" w:color="auto"/>
        <w:left w:val="none" w:sz="0" w:space="0" w:color="auto"/>
        <w:bottom w:val="none" w:sz="0" w:space="0" w:color="auto"/>
        <w:right w:val="none" w:sz="0" w:space="0" w:color="auto"/>
      </w:divBdr>
    </w:div>
    <w:div w:id="350035779">
      <w:bodyDiv w:val="1"/>
      <w:marLeft w:val="0"/>
      <w:marRight w:val="0"/>
      <w:marTop w:val="0"/>
      <w:marBottom w:val="0"/>
      <w:divBdr>
        <w:top w:val="none" w:sz="0" w:space="0" w:color="auto"/>
        <w:left w:val="none" w:sz="0" w:space="0" w:color="auto"/>
        <w:bottom w:val="none" w:sz="0" w:space="0" w:color="auto"/>
        <w:right w:val="none" w:sz="0" w:space="0" w:color="auto"/>
      </w:divBdr>
    </w:div>
    <w:div w:id="353195080">
      <w:bodyDiv w:val="1"/>
      <w:marLeft w:val="0"/>
      <w:marRight w:val="0"/>
      <w:marTop w:val="0"/>
      <w:marBottom w:val="0"/>
      <w:divBdr>
        <w:top w:val="none" w:sz="0" w:space="0" w:color="auto"/>
        <w:left w:val="none" w:sz="0" w:space="0" w:color="auto"/>
        <w:bottom w:val="none" w:sz="0" w:space="0" w:color="auto"/>
        <w:right w:val="none" w:sz="0" w:space="0" w:color="auto"/>
      </w:divBdr>
    </w:div>
    <w:div w:id="491413000">
      <w:bodyDiv w:val="1"/>
      <w:marLeft w:val="0"/>
      <w:marRight w:val="0"/>
      <w:marTop w:val="0"/>
      <w:marBottom w:val="0"/>
      <w:divBdr>
        <w:top w:val="none" w:sz="0" w:space="0" w:color="auto"/>
        <w:left w:val="none" w:sz="0" w:space="0" w:color="auto"/>
        <w:bottom w:val="none" w:sz="0" w:space="0" w:color="auto"/>
        <w:right w:val="none" w:sz="0" w:space="0" w:color="auto"/>
      </w:divBdr>
    </w:div>
    <w:div w:id="572161743">
      <w:bodyDiv w:val="1"/>
      <w:marLeft w:val="0"/>
      <w:marRight w:val="0"/>
      <w:marTop w:val="0"/>
      <w:marBottom w:val="0"/>
      <w:divBdr>
        <w:top w:val="none" w:sz="0" w:space="0" w:color="auto"/>
        <w:left w:val="none" w:sz="0" w:space="0" w:color="auto"/>
        <w:bottom w:val="none" w:sz="0" w:space="0" w:color="auto"/>
        <w:right w:val="none" w:sz="0" w:space="0" w:color="auto"/>
      </w:divBdr>
    </w:div>
    <w:div w:id="580605523">
      <w:bodyDiv w:val="1"/>
      <w:marLeft w:val="0"/>
      <w:marRight w:val="0"/>
      <w:marTop w:val="0"/>
      <w:marBottom w:val="0"/>
      <w:divBdr>
        <w:top w:val="none" w:sz="0" w:space="0" w:color="auto"/>
        <w:left w:val="none" w:sz="0" w:space="0" w:color="auto"/>
        <w:bottom w:val="none" w:sz="0" w:space="0" w:color="auto"/>
        <w:right w:val="none" w:sz="0" w:space="0" w:color="auto"/>
      </w:divBdr>
    </w:div>
    <w:div w:id="641736006">
      <w:bodyDiv w:val="1"/>
      <w:marLeft w:val="0"/>
      <w:marRight w:val="0"/>
      <w:marTop w:val="0"/>
      <w:marBottom w:val="0"/>
      <w:divBdr>
        <w:top w:val="none" w:sz="0" w:space="0" w:color="auto"/>
        <w:left w:val="none" w:sz="0" w:space="0" w:color="auto"/>
        <w:bottom w:val="none" w:sz="0" w:space="0" w:color="auto"/>
        <w:right w:val="none" w:sz="0" w:space="0" w:color="auto"/>
      </w:divBdr>
    </w:div>
    <w:div w:id="653070989">
      <w:bodyDiv w:val="1"/>
      <w:marLeft w:val="0"/>
      <w:marRight w:val="0"/>
      <w:marTop w:val="0"/>
      <w:marBottom w:val="0"/>
      <w:divBdr>
        <w:top w:val="none" w:sz="0" w:space="0" w:color="auto"/>
        <w:left w:val="none" w:sz="0" w:space="0" w:color="auto"/>
        <w:bottom w:val="none" w:sz="0" w:space="0" w:color="auto"/>
        <w:right w:val="none" w:sz="0" w:space="0" w:color="auto"/>
      </w:divBdr>
    </w:div>
    <w:div w:id="688721239">
      <w:bodyDiv w:val="1"/>
      <w:marLeft w:val="0"/>
      <w:marRight w:val="0"/>
      <w:marTop w:val="0"/>
      <w:marBottom w:val="0"/>
      <w:divBdr>
        <w:top w:val="none" w:sz="0" w:space="0" w:color="auto"/>
        <w:left w:val="none" w:sz="0" w:space="0" w:color="auto"/>
        <w:bottom w:val="none" w:sz="0" w:space="0" w:color="auto"/>
        <w:right w:val="none" w:sz="0" w:space="0" w:color="auto"/>
      </w:divBdr>
    </w:div>
    <w:div w:id="689839474">
      <w:bodyDiv w:val="1"/>
      <w:marLeft w:val="0"/>
      <w:marRight w:val="0"/>
      <w:marTop w:val="0"/>
      <w:marBottom w:val="0"/>
      <w:divBdr>
        <w:top w:val="none" w:sz="0" w:space="0" w:color="auto"/>
        <w:left w:val="none" w:sz="0" w:space="0" w:color="auto"/>
        <w:bottom w:val="none" w:sz="0" w:space="0" w:color="auto"/>
        <w:right w:val="none" w:sz="0" w:space="0" w:color="auto"/>
      </w:divBdr>
    </w:div>
    <w:div w:id="820075811">
      <w:bodyDiv w:val="1"/>
      <w:marLeft w:val="0"/>
      <w:marRight w:val="0"/>
      <w:marTop w:val="0"/>
      <w:marBottom w:val="0"/>
      <w:divBdr>
        <w:top w:val="none" w:sz="0" w:space="0" w:color="auto"/>
        <w:left w:val="none" w:sz="0" w:space="0" w:color="auto"/>
        <w:bottom w:val="none" w:sz="0" w:space="0" w:color="auto"/>
        <w:right w:val="none" w:sz="0" w:space="0" w:color="auto"/>
      </w:divBdr>
    </w:div>
    <w:div w:id="882442805">
      <w:bodyDiv w:val="1"/>
      <w:marLeft w:val="0"/>
      <w:marRight w:val="0"/>
      <w:marTop w:val="0"/>
      <w:marBottom w:val="0"/>
      <w:divBdr>
        <w:top w:val="none" w:sz="0" w:space="0" w:color="auto"/>
        <w:left w:val="none" w:sz="0" w:space="0" w:color="auto"/>
        <w:bottom w:val="none" w:sz="0" w:space="0" w:color="auto"/>
        <w:right w:val="none" w:sz="0" w:space="0" w:color="auto"/>
      </w:divBdr>
    </w:div>
    <w:div w:id="1218248879">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2">
          <w:marLeft w:val="0"/>
          <w:marRight w:val="0"/>
          <w:marTop w:val="0"/>
          <w:marBottom w:val="0"/>
          <w:divBdr>
            <w:top w:val="none" w:sz="0" w:space="0" w:color="auto"/>
            <w:left w:val="none" w:sz="0" w:space="0" w:color="auto"/>
            <w:bottom w:val="none" w:sz="0" w:space="0" w:color="auto"/>
            <w:right w:val="none" w:sz="0" w:space="0" w:color="auto"/>
          </w:divBdr>
        </w:div>
      </w:divsChild>
    </w:div>
    <w:div w:id="1348404298">
      <w:bodyDiv w:val="1"/>
      <w:marLeft w:val="0"/>
      <w:marRight w:val="0"/>
      <w:marTop w:val="0"/>
      <w:marBottom w:val="0"/>
      <w:divBdr>
        <w:top w:val="none" w:sz="0" w:space="0" w:color="auto"/>
        <w:left w:val="none" w:sz="0" w:space="0" w:color="auto"/>
        <w:bottom w:val="none" w:sz="0" w:space="0" w:color="auto"/>
        <w:right w:val="none" w:sz="0" w:space="0" w:color="auto"/>
      </w:divBdr>
    </w:div>
    <w:div w:id="1626815594">
      <w:bodyDiv w:val="1"/>
      <w:marLeft w:val="0"/>
      <w:marRight w:val="0"/>
      <w:marTop w:val="0"/>
      <w:marBottom w:val="0"/>
      <w:divBdr>
        <w:top w:val="none" w:sz="0" w:space="0" w:color="auto"/>
        <w:left w:val="none" w:sz="0" w:space="0" w:color="auto"/>
        <w:bottom w:val="none" w:sz="0" w:space="0" w:color="auto"/>
        <w:right w:val="none" w:sz="0" w:space="0" w:color="auto"/>
      </w:divBdr>
    </w:div>
    <w:div w:id="1774665365">
      <w:bodyDiv w:val="1"/>
      <w:marLeft w:val="0"/>
      <w:marRight w:val="0"/>
      <w:marTop w:val="0"/>
      <w:marBottom w:val="0"/>
      <w:divBdr>
        <w:top w:val="none" w:sz="0" w:space="0" w:color="auto"/>
        <w:left w:val="none" w:sz="0" w:space="0" w:color="auto"/>
        <w:bottom w:val="none" w:sz="0" w:space="0" w:color="auto"/>
        <w:right w:val="none" w:sz="0" w:space="0" w:color="auto"/>
      </w:divBdr>
    </w:div>
    <w:div w:id="1779792931">
      <w:bodyDiv w:val="1"/>
      <w:marLeft w:val="0"/>
      <w:marRight w:val="0"/>
      <w:marTop w:val="0"/>
      <w:marBottom w:val="0"/>
      <w:divBdr>
        <w:top w:val="none" w:sz="0" w:space="0" w:color="auto"/>
        <w:left w:val="none" w:sz="0" w:space="0" w:color="auto"/>
        <w:bottom w:val="none" w:sz="0" w:space="0" w:color="auto"/>
        <w:right w:val="none" w:sz="0" w:space="0" w:color="auto"/>
      </w:divBdr>
      <w:divsChild>
        <w:div w:id="1181973559">
          <w:marLeft w:val="547"/>
          <w:marRight w:val="0"/>
          <w:marTop w:val="200"/>
          <w:marBottom w:val="0"/>
          <w:divBdr>
            <w:top w:val="none" w:sz="0" w:space="0" w:color="auto"/>
            <w:left w:val="none" w:sz="0" w:space="0" w:color="auto"/>
            <w:bottom w:val="none" w:sz="0" w:space="0" w:color="auto"/>
            <w:right w:val="none" w:sz="0" w:space="0" w:color="auto"/>
          </w:divBdr>
        </w:div>
      </w:divsChild>
    </w:div>
    <w:div w:id="1911381205">
      <w:bodyDiv w:val="1"/>
      <w:marLeft w:val="0"/>
      <w:marRight w:val="0"/>
      <w:marTop w:val="0"/>
      <w:marBottom w:val="0"/>
      <w:divBdr>
        <w:top w:val="none" w:sz="0" w:space="0" w:color="auto"/>
        <w:left w:val="none" w:sz="0" w:space="0" w:color="auto"/>
        <w:bottom w:val="none" w:sz="0" w:space="0" w:color="auto"/>
        <w:right w:val="none" w:sz="0" w:space="0" w:color="auto"/>
      </w:divBdr>
    </w:div>
    <w:div w:id="1930188618">
      <w:bodyDiv w:val="1"/>
      <w:marLeft w:val="0"/>
      <w:marRight w:val="0"/>
      <w:marTop w:val="0"/>
      <w:marBottom w:val="0"/>
      <w:divBdr>
        <w:top w:val="none" w:sz="0" w:space="0" w:color="auto"/>
        <w:left w:val="none" w:sz="0" w:space="0" w:color="auto"/>
        <w:bottom w:val="none" w:sz="0" w:space="0" w:color="auto"/>
        <w:right w:val="none" w:sz="0" w:space="0" w:color="auto"/>
      </w:divBdr>
      <w:divsChild>
        <w:div w:id="533691480">
          <w:marLeft w:val="0"/>
          <w:marRight w:val="0"/>
          <w:marTop w:val="0"/>
          <w:marBottom w:val="0"/>
          <w:divBdr>
            <w:top w:val="none" w:sz="0" w:space="0" w:color="auto"/>
            <w:left w:val="none" w:sz="0" w:space="0" w:color="auto"/>
            <w:bottom w:val="none" w:sz="0" w:space="0" w:color="auto"/>
            <w:right w:val="none" w:sz="0" w:space="0" w:color="auto"/>
          </w:divBdr>
        </w:div>
      </w:divsChild>
    </w:div>
    <w:div w:id="2061511531">
      <w:bodyDiv w:val="1"/>
      <w:marLeft w:val="0"/>
      <w:marRight w:val="0"/>
      <w:marTop w:val="0"/>
      <w:marBottom w:val="0"/>
      <w:divBdr>
        <w:top w:val="none" w:sz="0" w:space="0" w:color="auto"/>
        <w:left w:val="none" w:sz="0" w:space="0" w:color="auto"/>
        <w:bottom w:val="none" w:sz="0" w:space="0" w:color="auto"/>
        <w:right w:val="none" w:sz="0" w:space="0" w:color="auto"/>
      </w:divBdr>
    </w:div>
    <w:div w:id="20871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hyperlink" Target="https://www.ewn.ch/waerme/waermeverbund/seewn-hergiswi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image" Target="media/image15.png"/><Relationship Id="rId5" Type="http://schemas.openxmlformats.org/officeDocument/2006/relationships/styles" Target="styles.xml"/><Relationship Id="rId15" Type="http://schemas.openxmlformats.org/officeDocument/2006/relationships/image" Target="media/image8.jpeg"/><Relationship Id="rId23" Type="http://schemas.openxmlformats.org/officeDocument/2006/relationships/image" Target="media/image14.png"/><Relationship Id="rId10" Type="http://schemas.openxmlformats.org/officeDocument/2006/relationships/image" Target="media/image3.png"/><Relationship Id="rId19" Type="http://schemas.openxmlformats.org/officeDocument/2006/relationships/hyperlink" Target="https://www.ewn.ch/waerme/waermeverbund/seewn-buochs/"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3C964C5D8BEF147AEF7FAB8B77B1BD0" ma:contentTypeVersion="14" ma:contentTypeDescription="Ein neues Dokument erstellen." ma:contentTypeScope="" ma:versionID="ef0bf1dcd5e6ec974dd8fbdb1e4b4d12">
  <xsd:schema xmlns:xsd="http://www.w3.org/2001/XMLSchema" xmlns:xs="http://www.w3.org/2001/XMLSchema" xmlns:p="http://schemas.microsoft.com/office/2006/metadata/properties" xmlns:ns2="1d354d3b-1b77-4c36-8b6c-adc988e8367c" xmlns:ns3="08db3ee0-8e57-4ad0-98c8-39b4a47ab1e8" targetNamespace="http://schemas.microsoft.com/office/2006/metadata/properties" ma:root="true" ma:fieldsID="e4785f5a2d0882862acc271cdc176dd3" ns2:_="" ns3:_="">
    <xsd:import namespace="1d354d3b-1b77-4c36-8b6c-adc988e8367c"/>
    <xsd:import namespace="08db3ee0-8e57-4ad0-98c8-39b4a47ab1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54d3b-1b77-4c36-8b6c-adc988e83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56e87b6-01e7-4b6f-97eb-af5288b1e3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um" ma:index="21"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8db3ee0-8e57-4ad0-98c8-39b4a47ab1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2cb827-f1c1-40a1-8371-85485f1652b2}" ma:internalName="TaxCatchAll" ma:showField="CatchAllData" ma:web="08db3ee0-8e57-4ad0-98c8-39b4a47ab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db3ee0-8e57-4ad0-98c8-39b4a47ab1e8" xsi:nil="true"/>
    <Datum xmlns="1d354d3b-1b77-4c36-8b6c-adc988e8367c" xsi:nil="true"/>
    <lcf76f155ced4ddcb4097134ff3c332f xmlns="1d354d3b-1b77-4c36-8b6c-adc988e836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2581BA-84B9-46E4-98B0-603123AC063A}">
  <ds:schemaRefs>
    <ds:schemaRef ds:uri="http://schemas.microsoft.com/sharepoint/v3/contenttype/forms"/>
  </ds:schemaRefs>
</ds:datastoreItem>
</file>

<file path=customXml/itemProps2.xml><?xml version="1.0" encoding="utf-8"?>
<ds:datastoreItem xmlns:ds="http://schemas.openxmlformats.org/officeDocument/2006/customXml" ds:itemID="{658B55F7-5259-45E0-AE13-8627B9A45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54d3b-1b77-4c36-8b6c-adc988e8367c"/>
    <ds:schemaRef ds:uri="08db3ee0-8e57-4ad0-98c8-39b4a47ab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57015D-EDC2-45ED-8FAA-D1FF772B32AE}">
  <ds:schemaRefs>
    <ds:schemaRef ds:uri="http://schemas.microsoft.com/office/2006/documentManagement/types"/>
    <ds:schemaRef ds:uri="1d354d3b-1b77-4c36-8b6c-adc988e8367c"/>
    <ds:schemaRef ds:uri="08db3ee0-8e57-4ad0-98c8-39b4a47ab1e8"/>
    <ds:schemaRef ds:uri="http://purl.org/dc/elements/1.1/"/>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1531</Words>
  <Characters>9651</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Kantonales Elektrizitätswerk Nidwalden</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Jöri Martin</dc:creator>
  <cp:keywords/>
  <dc:description/>
  <cp:lastModifiedBy>Jöri Martin</cp:lastModifiedBy>
  <cp:revision>2</cp:revision>
  <dcterms:created xsi:type="dcterms:W3CDTF">2024-12-17T11:50:00Z</dcterms:created>
  <dcterms:modified xsi:type="dcterms:W3CDTF">2024-12-17T11:50:00Z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0x010100B3C964C5D8BEF147AEF7FAB8B77B1BD0</vt:lpwstr>
  </property>
</Properties>
</file>